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harts/chart10.xml" ContentType="application/vnd.openxmlformats-officedocument.drawingml.chart+xml"/>
  <Override PartName="/word/charts/chart20.xml" ContentType="application/vnd.openxmlformats-officedocument.drawingml.chart+xml"/>
  <Override PartName="/word/charts/chart30.xml" ContentType="application/vnd.openxmlformats-officedocument.drawingml.chart+xml"/>
  <Override PartName="/word/drawings/drawing10.xml" ContentType="application/vnd.openxmlformats-officedocument.drawingml.chartshap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0E9" w:rsidRPr="009B29BF" w:rsidRDefault="003710E9" w:rsidP="009E1E72">
      <w:pPr>
        <w:pStyle w:val="Heading1"/>
        <w:spacing w:before="120"/>
        <w:rPr>
          <w:sz w:val="36"/>
        </w:rPr>
      </w:pPr>
      <w:r w:rsidRPr="009B29BF">
        <w:rPr>
          <w:sz w:val="36"/>
        </w:rPr>
        <w:t xml:space="preserve">Learning from Online Modules </w:t>
      </w:r>
      <w:r w:rsidR="009B29BF">
        <w:rPr>
          <w:sz w:val="36"/>
        </w:rPr>
        <w:br/>
      </w:r>
      <w:r w:rsidRPr="009B29BF">
        <w:rPr>
          <w:sz w:val="36"/>
        </w:rPr>
        <w:t>in Diverse Instructional Contexts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890256" w:rsidTr="00890256">
        <w:tc>
          <w:tcPr>
            <w:tcW w:w="4428" w:type="dxa"/>
          </w:tcPr>
          <w:p w:rsidR="00890256" w:rsidRDefault="00890256" w:rsidP="00890256">
            <w:pPr>
              <w:pStyle w:val="Heading2"/>
              <w:jc w:val="center"/>
            </w:pPr>
            <w:r>
              <w:t>Gwen Nugent</w:t>
            </w:r>
            <w:r>
              <w:br/>
              <w:t>University of Nebraska-Lincoln, Lincoln, NE, USA</w:t>
            </w:r>
          </w:p>
          <w:p w:rsidR="00890256" w:rsidRDefault="00213FC5" w:rsidP="00890256">
            <w:pPr>
              <w:pStyle w:val="Heading3"/>
              <w:spacing w:before="120"/>
              <w:jc w:val="center"/>
            </w:pPr>
            <w:hyperlink r:id="rId9" w:history="1">
              <w:r w:rsidR="00890256" w:rsidRPr="00040867">
                <w:rPr>
                  <w:rStyle w:val="Hyperlink"/>
                </w:rPr>
                <w:t>gnugent@unl.edu</w:t>
              </w:r>
            </w:hyperlink>
          </w:p>
        </w:tc>
        <w:tc>
          <w:tcPr>
            <w:tcW w:w="4428" w:type="dxa"/>
          </w:tcPr>
          <w:p w:rsidR="00890256" w:rsidRDefault="00890256" w:rsidP="00890256">
            <w:pPr>
              <w:pStyle w:val="Heading2"/>
              <w:jc w:val="center"/>
            </w:pPr>
            <w:r>
              <w:t xml:space="preserve">Amy Kohmetscher </w:t>
            </w:r>
            <w:r>
              <w:br/>
            </w:r>
            <w:proofErr w:type="gramStart"/>
            <w:r>
              <w:t>The</w:t>
            </w:r>
            <w:proofErr w:type="gramEnd"/>
            <w:r>
              <w:t xml:space="preserve"> Ohio State University, Columbus, OH, USA</w:t>
            </w:r>
          </w:p>
          <w:p w:rsidR="00890256" w:rsidRDefault="00213FC5" w:rsidP="00890256">
            <w:pPr>
              <w:pStyle w:val="Heading3"/>
              <w:spacing w:before="120"/>
              <w:jc w:val="center"/>
            </w:pPr>
            <w:hyperlink r:id="rId10" w:history="1">
              <w:r w:rsidR="00890256" w:rsidRPr="00040867">
                <w:rPr>
                  <w:rStyle w:val="Hyperlink"/>
                </w:rPr>
                <w:t>kohmetscher.1@osu.edu</w:t>
              </w:r>
            </w:hyperlink>
            <w:r w:rsidR="00890256">
              <w:t>;</w:t>
            </w:r>
            <w:r w:rsidR="00890256" w:rsidRPr="00040867">
              <w:t xml:space="preserve"> </w:t>
            </w:r>
          </w:p>
        </w:tc>
      </w:tr>
      <w:tr w:rsidR="00890256" w:rsidTr="00890256">
        <w:tc>
          <w:tcPr>
            <w:tcW w:w="4428" w:type="dxa"/>
          </w:tcPr>
          <w:p w:rsidR="00890256" w:rsidRDefault="00890256" w:rsidP="00890256">
            <w:pPr>
              <w:pStyle w:val="Heading2"/>
              <w:jc w:val="center"/>
            </w:pPr>
            <w:r>
              <w:t>Deana Namuth-Covert</w:t>
            </w:r>
            <w:r>
              <w:br/>
            </w:r>
            <w:proofErr w:type="gramStart"/>
            <w:r>
              <w:t>The</w:t>
            </w:r>
            <w:proofErr w:type="gramEnd"/>
            <w:r>
              <w:t xml:space="preserve"> Ohio State University, Columbus, OH, USA</w:t>
            </w:r>
          </w:p>
          <w:p w:rsidR="00890256" w:rsidRDefault="00213FC5" w:rsidP="00890256">
            <w:pPr>
              <w:pStyle w:val="Heading3"/>
              <w:spacing w:before="120"/>
              <w:jc w:val="center"/>
            </w:pPr>
            <w:hyperlink r:id="rId11" w:history="1">
              <w:r w:rsidR="00890256" w:rsidRPr="008B4677">
                <w:rPr>
                  <w:rStyle w:val="Hyperlink"/>
                </w:rPr>
                <w:t>namuth-covert.1@osu.edu</w:t>
              </w:r>
            </w:hyperlink>
          </w:p>
        </w:tc>
        <w:tc>
          <w:tcPr>
            <w:tcW w:w="4428" w:type="dxa"/>
          </w:tcPr>
          <w:p w:rsidR="00890256" w:rsidRDefault="00890256" w:rsidP="00890256">
            <w:pPr>
              <w:pStyle w:val="Heading2"/>
              <w:jc w:val="center"/>
            </w:pPr>
            <w:r>
              <w:t>John Guretzky</w:t>
            </w:r>
            <w:r>
              <w:br/>
              <w:t>University of Nebraska-Lincoln, Lincoln, NE, USA</w:t>
            </w:r>
          </w:p>
          <w:p w:rsidR="00890256" w:rsidRDefault="00213FC5" w:rsidP="00890256">
            <w:pPr>
              <w:pStyle w:val="Heading3"/>
              <w:spacing w:before="120"/>
              <w:jc w:val="center"/>
            </w:pPr>
            <w:hyperlink r:id="rId12" w:history="1">
              <w:r w:rsidR="00890256" w:rsidRPr="00040867">
                <w:rPr>
                  <w:rStyle w:val="Hyperlink"/>
                </w:rPr>
                <w:t>jguretzky2@unl.edu</w:t>
              </w:r>
            </w:hyperlink>
          </w:p>
        </w:tc>
      </w:tr>
      <w:tr w:rsidR="00890256" w:rsidTr="00890256">
        <w:tc>
          <w:tcPr>
            <w:tcW w:w="4428" w:type="dxa"/>
          </w:tcPr>
          <w:p w:rsidR="00890256" w:rsidRDefault="00890256" w:rsidP="00890256">
            <w:pPr>
              <w:pStyle w:val="Heading2"/>
              <w:jc w:val="center"/>
            </w:pPr>
            <w:r>
              <w:t>Patrick Murphy</w:t>
            </w:r>
            <w:r>
              <w:br/>
              <w:t xml:space="preserve">Iowa State University, </w:t>
            </w:r>
            <w:r>
              <w:br/>
              <w:t>Ames, IA, USA</w:t>
            </w:r>
          </w:p>
          <w:p w:rsidR="00890256" w:rsidRDefault="00213FC5" w:rsidP="00890256">
            <w:pPr>
              <w:pStyle w:val="Heading3"/>
              <w:spacing w:before="120"/>
              <w:jc w:val="center"/>
            </w:pPr>
            <w:hyperlink r:id="rId13" w:history="1">
              <w:r w:rsidR="00890256" w:rsidRPr="00040867">
                <w:rPr>
                  <w:rStyle w:val="Hyperlink"/>
                </w:rPr>
                <w:t>ptmurphy82@gmail.com</w:t>
              </w:r>
            </w:hyperlink>
          </w:p>
        </w:tc>
        <w:tc>
          <w:tcPr>
            <w:tcW w:w="4428" w:type="dxa"/>
          </w:tcPr>
          <w:p w:rsidR="00890256" w:rsidRDefault="00890256" w:rsidP="00890256">
            <w:pPr>
              <w:pStyle w:val="Heading2"/>
              <w:jc w:val="center"/>
            </w:pPr>
            <w:r>
              <w:t>DoKyoung Lee</w:t>
            </w:r>
            <w:r>
              <w:br/>
              <w:t xml:space="preserve">University of Illinois, </w:t>
            </w:r>
            <w:r>
              <w:br/>
              <w:t>Urbana, IL, USA</w:t>
            </w:r>
          </w:p>
          <w:p w:rsidR="00890256" w:rsidRDefault="00213FC5" w:rsidP="009E1E72">
            <w:pPr>
              <w:pStyle w:val="Heading3"/>
              <w:spacing w:before="120"/>
              <w:jc w:val="center"/>
            </w:pPr>
            <w:hyperlink r:id="rId14" w:history="1">
              <w:r w:rsidR="00890256" w:rsidRPr="00040867">
                <w:rPr>
                  <w:rStyle w:val="Hyperlink"/>
                </w:rPr>
                <w:t>leedk@illinois.edu</w:t>
              </w:r>
            </w:hyperlink>
          </w:p>
        </w:tc>
      </w:tr>
    </w:tbl>
    <w:p w:rsidR="003D08A1" w:rsidRDefault="00D663F0" w:rsidP="009B29BF">
      <w:pPr>
        <w:pStyle w:val="Heading1"/>
      </w:pPr>
      <w:r w:rsidRPr="009B29BF">
        <w:t>Abstract</w:t>
      </w:r>
      <w:r>
        <w:t xml:space="preserve"> </w:t>
      </w:r>
    </w:p>
    <w:p w:rsidR="003710E9" w:rsidRDefault="009B29BF" w:rsidP="009B29BF">
      <w:r>
        <w:rPr>
          <w:b/>
          <w:bCs/>
          <w:noProof/>
        </w:rPr>
        <mc:AlternateContent>
          <mc:Choice Requires="wps">
            <w:drawing>
              <wp:anchor distT="0" distB="0" distL="114300" distR="114300" simplePos="0" relativeHeight="251658752" behindDoc="0" locked="0" layoutInCell="1" allowOverlap="0" wp14:anchorId="177F7ED1" wp14:editId="1130D5BF">
                <wp:simplePos x="0" y="0"/>
                <wp:positionH relativeFrom="margin">
                  <wp:align>left</wp:align>
                </wp:positionH>
                <wp:positionV relativeFrom="margin">
                  <wp:align>bottom</wp:align>
                </wp:positionV>
                <wp:extent cx="3090672" cy="1737360"/>
                <wp:effectExtent l="0" t="0" r="0" b="0"/>
                <wp:wrapSquare wrapText="bothSides"/>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77058" w:rsidRDefault="00677058"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5"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77F7ED1" id="_x0000_t202" coordsize="21600,21600" o:spt="202" path="m,l,21600r21600,l21600,xe">
                <v:stroke joinstyle="miter"/>
                <v:path gradientshapeok="t" o:connecttype="rect"/>
              </v:shapetype>
              <v:shape id="Text Box 12" o:spid="_x0000_s1026" type="#_x0000_t202" style="position:absolute;margin-left:0;margin-top:0;width:243.35pt;height:136.8pt;z-index:25165875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NDrhQIAABE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" o:allowoverlap="f" stroked="f">
                <v:textbox>
                  <w:txbxContent>
                    <w:p w:rsidR="00677058" w:rsidRDefault="00677058" w:rsidP="00D663F0">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6"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710E9">
        <w:t xml:space="preserve">Learning </w:t>
      </w:r>
      <w:r w:rsidR="003710E9" w:rsidRPr="00CB3485">
        <w:t>objects originally developed for use in online learning environme</w:t>
      </w:r>
      <w:r w:rsidR="003710E9">
        <w:t xml:space="preserve">nts can also be used to enhance </w:t>
      </w:r>
      <w:r w:rsidR="003710E9" w:rsidRPr="00CB3485">
        <w:t>face-to-face instruction.</w:t>
      </w:r>
      <w:r w:rsidR="003710E9" w:rsidRPr="00CB3485">
        <w:rPr>
          <w:b/>
        </w:rPr>
        <w:t xml:space="preserve"> </w:t>
      </w:r>
      <w:r w:rsidR="003710E9" w:rsidRPr="00CB3485">
        <w:t>This study examined the learning impacts of online learning o</w:t>
      </w:r>
      <w:r w:rsidR="003710E9" w:rsidRPr="00CB3485">
        <w:t>b</w:t>
      </w:r>
      <w:r w:rsidR="003710E9" w:rsidRPr="00CB3485">
        <w:t>jects packaged into modules and used in different contexts for undergraduate education offered on campus at three institutions</w:t>
      </w:r>
      <w:r w:rsidR="00F24B1F">
        <w:t xml:space="preserve">. </w:t>
      </w:r>
      <w:r w:rsidR="003710E9">
        <w:t>A</w:t>
      </w:r>
      <w:r w:rsidR="003710E9" w:rsidRPr="00CB3485">
        <w:t xml:space="preserve"> multi-case study approach</w:t>
      </w:r>
      <w:r w:rsidR="003710E9">
        <w:t xml:space="preserve"> was used</w:t>
      </w:r>
      <w:r w:rsidR="003710E9" w:rsidRPr="00CB3485">
        <w:t>, examining learning i</w:t>
      </w:r>
      <w:r w:rsidR="003710E9" w:rsidRPr="00CB3485">
        <w:t>m</w:t>
      </w:r>
      <w:r w:rsidR="003710E9" w:rsidRPr="00CB3485">
        <w:t xml:space="preserve">pacts across a variety of course subjects, </w:t>
      </w:r>
      <w:r w:rsidR="003710E9">
        <w:t>course levels</w:t>
      </w:r>
      <w:r w:rsidR="003710E9" w:rsidRPr="00CB3485">
        <w:t xml:space="preserve"> (introductory and advanced undergrad</w:t>
      </w:r>
      <w:r w:rsidR="003710E9" w:rsidRPr="00CB3485">
        <w:t>u</w:t>
      </w:r>
      <w:r w:rsidR="003710E9" w:rsidRPr="00CB3485">
        <w:t>ate), student levels (undergraduate and graduate)</w:t>
      </w:r>
      <w:r w:rsidR="004F5295">
        <w:t>,</w:t>
      </w:r>
      <w:r w:rsidR="003710E9" w:rsidRPr="00CB3485">
        <w:t xml:space="preserve"> and instructional goals (i.e.</w:t>
      </w:r>
      <w:r w:rsidR="00F24B1F">
        <w:t>,</w:t>
      </w:r>
      <w:r w:rsidR="003710E9" w:rsidRPr="00CB3485">
        <w:t xml:space="preserve"> replacem</w:t>
      </w:r>
      <w:r w:rsidR="00F24B1F">
        <w:t xml:space="preserve">ent for lecture, remediation). </w:t>
      </w:r>
      <w:r w:rsidR="003710E9">
        <w:t>A repeated measures design was used, with learning data collected prior to viewing the online module, after completion of the module</w:t>
      </w:r>
      <w:r w:rsidR="004F5295">
        <w:t>,</w:t>
      </w:r>
      <w:r w:rsidR="003710E9">
        <w:t xml:space="preserve"> a</w:t>
      </w:r>
      <w:r w:rsidR="00F24B1F">
        <w:t xml:space="preserve">nd at the end of the semester. </w:t>
      </w:r>
      <w:r w:rsidR="003710E9" w:rsidRPr="00CB3485">
        <w:t>The study provided a broad examination of ways that online modules are typically used in a college classroom, as well as measured learning effectiveness based on different instruction</w:t>
      </w:r>
      <w:r w:rsidR="00F24B1F">
        <w:t xml:space="preserve">al purpose and usage contexts. </w:t>
      </w:r>
      <w:r w:rsidR="003710E9" w:rsidRPr="00CB3485">
        <w:t>Results showed the effectiveness of the modules in serving as a substitute for classroom lecture, remediation of course prerequisite material, introduction to content with fo</w:t>
      </w:r>
      <w:r w:rsidR="003710E9" w:rsidRPr="00CB3485">
        <w:t>l</w:t>
      </w:r>
      <w:r w:rsidR="003710E9" w:rsidRPr="00CB3485">
        <w:t>low-up lab practice, and review for final e</w:t>
      </w:r>
      <w:r w:rsidR="003710E9" w:rsidRPr="00CB3485">
        <w:t>x</w:t>
      </w:r>
      <w:r w:rsidR="003710E9" w:rsidRPr="00CB3485">
        <w:t>ams. In each of these cases</w:t>
      </w:r>
      <w:r w:rsidR="00F24B1F">
        <w:t>,</w:t>
      </w:r>
      <w:r w:rsidR="003710E9" w:rsidRPr="00CB3485">
        <w:t xml:space="preserve"> the use of the modules resulted in significant learning increa</w:t>
      </w:r>
      <w:r w:rsidR="003710E9" w:rsidRPr="00CB3485">
        <w:t>s</w:t>
      </w:r>
      <w:r w:rsidR="003710E9" w:rsidRPr="00CB3485">
        <w:t>es, as well as retention of the learning until the end of the s</w:t>
      </w:r>
      <w:r w:rsidR="003710E9" w:rsidRPr="00CB3485">
        <w:t>e</w:t>
      </w:r>
      <w:r w:rsidR="003710E9" w:rsidRPr="00CB3485">
        <w:t>mester.</w:t>
      </w:r>
    </w:p>
    <w:p w:rsidR="003710E9" w:rsidRDefault="003710E9" w:rsidP="003710E9">
      <w:r w:rsidRPr="004458D0">
        <w:rPr>
          <w:b/>
          <w:szCs w:val="22"/>
        </w:rPr>
        <w:t>Keywords</w:t>
      </w:r>
      <w:r>
        <w:rPr>
          <w:szCs w:val="22"/>
        </w:rPr>
        <w:t xml:space="preserve">:  </w:t>
      </w:r>
      <w:bookmarkStart w:id="0" w:name="_GoBack"/>
      <w:r>
        <w:rPr>
          <w:szCs w:val="22"/>
        </w:rPr>
        <w:t>Learning objects, online learning, instructional context, multim</w:t>
      </w:r>
      <w:r>
        <w:rPr>
          <w:szCs w:val="22"/>
        </w:rPr>
        <w:t>e</w:t>
      </w:r>
      <w:r>
        <w:rPr>
          <w:szCs w:val="22"/>
        </w:rPr>
        <w:t>dia instruction, online modules</w:t>
      </w:r>
      <w:bookmarkEnd w:id="0"/>
      <w:r>
        <w:rPr>
          <w:szCs w:val="22"/>
        </w:rPr>
        <w:t>.</w:t>
      </w:r>
    </w:p>
    <w:p w:rsidR="003D08A1" w:rsidRDefault="003D08A1">
      <w:pPr>
        <w:pStyle w:val="Heading1"/>
      </w:pPr>
      <w:r>
        <w:lastRenderedPageBreak/>
        <w:t>Introduction</w:t>
      </w:r>
    </w:p>
    <w:p w:rsidR="00097567" w:rsidRDefault="003710E9" w:rsidP="00097567">
      <w:r>
        <w:t>Online learning objects (LOs) are small, stand-alone, mediated content resources that can be r</w:t>
      </w:r>
      <w:r>
        <w:t>e</w:t>
      </w:r>
      <w:r>
        <w:t>used in multiple instru</w:t>
      </w:r>
      <w:r>
        <w:t>c</w:t>
      </w:r>
      <w:r>
        <w:t>tional contexts, serving as building blocks to develop lessons, modules</w:t>
      </w:r>
      <w:r w:rsidR="00867315">
        <w:t xml:space="preserve">, or courses. </w:t>
      </w:r>
      <w:r w:rsidRPr="007D30AC">
        <w:rPr>
          <w:szCs w:val="22"/>
        </w:rPr>
        <w:t>While the definitions of learning objects vary, a comprehensive review of the literature showed that there generally are</w:t>
      </w:r>
      <w:r w:rsidR="00867315">
        <w:rPr>
          <w:szCs w:val="22"/>
        </w:rPr>
        <w:t xml:space="preserve"> three common characteristics: </w:t>
      </w:r>
      <w:r w:rsidR="004F5295">
        <w:rPr>
          <w:szCs w:val="22"/>
        </w:rPr>
        <w:t>t</w:t>
      </w:r>
      <w:r w:rsidRPr="007D30AC">
        <w:rPr>
          <w:szCs w:val="22"/>
        </w:rPr>
        <w:t>hey are digital, they support lear</w:t>
      </w:r>
      <w:r w:rsidRPr="007D30AC">
        <w:rPr>
          <w:szCs w:val="22"/>
        </w:rPr>
        <w:t>n</w:t>
      </w:r>
      <w:r w:rsidRPr="007D30AC">
        <w:rPr>
          <w:szCs w:val="22"/>
        </w:rPr>
        <w:t>ing,</w:t>
      </w:r>
      <w:r w:rsidRPr="007D30AC">
        <w:rPr>
          <w:i/>
          <w:szCs w:val="22"/>
        </w:rPr>
        <w:t xml:space="preserve"> </w:t>
      </w:r>
      <w:r w:rsidRPr="007D30AC">
        <w:rPr>
          <w:szCs w:val="22"/>
        </w:rPr>
        <w:t>and they are reusable</w:t>
      </w:r>
      <w:r w:rsidRPr="007D30AC">
        <w:rPr>
          <w:i/>
          <w:szCs w:val="22"/>
        </w:rPr>
        <w:t xml:space="preserve"> </w:t>
      </w:r>
      <w:r w:rsidR="00867315">
        <w:rPr>
          <w:szCs w:val="22"/>
        </w:rPr>
        <w:t xml:space="preserve">(Moisey &amp; Ally, 2007). </w:t>
      </w:r>
      <w:r w:rsidRPr="007D30AC">
        <w:rPr>
          <w:szCs w:val="22"/>
        </w:rPr>
        <w:t>LOs supporting face-to-face classes can serve many purposes: as background/review covering prerequisite course knowledge; to replace a le</w:t>
      </w:r>
      <w:r w:rsidRPr="007D30AC">
        <w:rPr>
          <w:szCs w:val="22"/>
        </w:rPr>
        <w:t>c</w:t>
      </w:r>
      <w:r w:rsidRPr="007D30AC">
        <w:rPr>
          <w:szCs w:val="22"/>
        </w:rPr>
        <w:t>ture; to support, reinforce, and complement classroom presentations; introduce content for fo</w:t>
      </w:r>
      <w:r w:rsidRPr="007D30AC">
        <w:rPr>
          <w:szCs w:val="22"/>
        </w:rPr>
        <w:t>l</w:t>
      </w:r>
      <w:r w:rsidRPr="007D30AC">
        <w:rPr>
          <w:szCs w:val="22"/>
        </w:rPr>
        <w:t xml:space="preserve">low-up practice; and to serve as </w:t>
      </w:r>
      <w:r w:rsidR="00867315">
        <w:rPr>
          <w:szCs w:val="22"/>
        </w:rPr>
        <w:t xml:space="preserve">a review for an exam. </w:t>
      </w:r>
      <w:r w:rsidRPr="007D30AC">
        <w:rPr>
          <w:szCs w:val="22"/>
        </w:rPr>
        <w:t>The capability of LOs to support a variety of instructional contexts helps meet educational needs of the growing diversity of students in b</w:t>
      </w:r>
      <w:r w:rsidR="00867315">
        <w:rPr>
          <w:szCs w:val="22"/>
        </w:rPr>
        <w:t>oth K</w:t>
      </w:r>
      <w:r w:rsidR="00F24B1F">
        <w:rPr>
          <w:szCs w:val="22"/>
        </w:rPr>
        <w:t>–</w:t>
      </w:r>
      <w:r w:rsidR="00867315">
        <w:rPr>
          <w:szCs w:val="22"/>
        </w:rPr>
        <w:t xml:space="preserve">12 and college settings. </w:t>
      </w:r>
      <w:r w:rsidRPr="007D30AC">
        <w:rPr>
          <w:szCs w:val="22"/>
        </w:rPr>
        <w:t>These characteristics contribute to a</w:t>
      </w:r>
      <w:r w:rsidR="006A31E3">
        <w:rPr>
          <w:szCs w:val="22"/>
        </w:rPr>
        <w:t>n</w:t>
      </w:r>
      <w:r w:rsidRPr="007D30AC">
        <w:rPr>
          <w:szCs w:val="22"/>
        </w:rPr>
        <w:t xml:space="preserve"> LO’s </w:t>
      </w:r>
      <w:r w:rsidRPr="007D30AC">
        <w:rPr>
          <w:i/>
          <w:szCs w:val="22"/>
        </w:rPr>
        <w:t>utility</w:t>
      </w:r>
      <w:r w:rsidRPr="007D30AC">
        <w:rPr>
          <w:szCs w:val="22"/>
        </w:rPr>
        <w:t>, which refers to a</w:t>
      </w:r>
      <w:r w:rsidR="00FF5461">
        <w:rPr>
          <w:szCs w:val="22"/>
        </w:rPr>
        <w:t>n</w:t>
      </w:r>
      <w:r w:rsidRPr="007D30AC">
        <w:rPr>
          <w:szCs w:val="22"/>
        </w:rPr>
        <w:t xml:space="preserve"> LO’s expanded use beyond that of the initial intended audience or educational setting (Namuth, Fritz, King, &amp;</w:t>
      </w:r>
      <w:r w:rsidR="00867315">
        <w:rPr>
          <w:szCs w:val="22"/>
        </w:rPr>
        <w:t xml:space="preserve"> Boren, 2005).</w:t>
      </w:r>
      <w:r w:rsidRPr="007D30AC">
        <w:rPr>
          <w:szCs w:val="22"/>
        </w:rPr>
        <w:t xml:space="preserve"> </w:t>
      </w:r>
      <w:r>
        <w:rPr>
          <w:szCs w:val="22"/>
        </w:rPr>
        <w:t>Learning objects may also be classified in terms of uses in different educational contexts with the goal of guiding selection and usage by potential users. Proposed classifications include presentation, practice, simulation, conceptual models, information, and contextual representation (Churchill, 2007).</w:t>
      </w:r>
    </w:p>
    <w:p w:rsidR="003D08A1" w:rsidRDefault="003710E9" w:rsidP="00272AC7">
      <w:r>
        <w:t xml:space="preserve">Research </w:t>
      </w:r>
      <w:r w:rsidRPr="007D30AC">
        <w:rPr>
          <w:szCs w:val="22"/>
        </w:rPr>
        <w:t xml:space="preserve">has documented the instructional effectiveness of learning objects (Guy &amp; </w:t>
      </w:r>
      <w:proofErr w:type="spellStart"/>
      <w:r w:rsidRPr="007D30AC">
        <w:rPr>
          <w:szCs w:val="22"/>
        </w:rPr>
        <w:t>Lownes</w:t>
      </w:r>
      <w:proofErr w:type="spellEnd"/>
      <w:r w:rsidRPr="007D30AC">
        <w:rPr>
          <w:szCs w:val="22"/>
        </w:rPr>
        <w:t xml:space="preserve">-Jackson, 2012; Kay, 2014; Nugent, Soh, &amp; Samal, 2006; Tallmadge &amp; </w:t>
      </w:r>
      <w:proofErr w:type="spellStart"/>
      <w:r w:rsidRPr="007D30AC">
        <w:rPr>
          <w:szCs w:val="22"/>
        </w:rPr>
        <w:t>Chitester</w:t>
      </w:r>
      <w:proofErr w:type="spellEnd"/>
      <w:r w:rsidRPr="007D30AC">
        <w:rPr>
          <w:szCs w:val="22"/>
        </w:rPr>
        <w:t>, 2010) but little is known about their learning impact when used to meet different instructional objectives and when used in different learning contexts</w:t>
      </w:r>
      <w:r w:rsidR="00867315">
        <w:rPr>
          <w:szCs w:val="22"/>
        </w:rPr>
        <w:t xml:space="preserve">. </w:t>
      </w:r>
      <w:r w:rsidRPr="007D30AC">
        <w:rPr>
          <w:szCs w:val="22"/>
        </w:rPr>
        <w:t>The purpose of this study was to explore the learning impacts of learning objects packaged into online modules and used in different learning contexts</w:t>
      </w:r>
      <w:r w:rsidR="00867315">
        <w:rPr>
          <w:szCs w:val="22"/>
        </w:rPr>
        <w:t xml:space="preserve">. </w:t>
      </w:r>
      <w:r>
        <w:rPr>
          <w:szCs w:val="22"/>
        </w:rPr>
        <w:t>The study</w:t>
      </w:r>
      <w:r w:rsidRPr="007D30AC">
        <w:rPr>
          <w:szCs w:val="22"/>
        </w:rPr>
        <w:t xml:space="preserve"> used a multi-case study approach involving professors from different universities teaching different undergraduate agricultural science classes. </w:t>
      </w:r>
      <w:r>
        <w:rPr>
          <w:szCs w:val="22"/>
        </w:rPr>
        <w:t>This multi-case study approach a</w:t>
      </w:r>
      <w:r>
        <w:rPr>
          <w:szCs w:val="22"/>
        </w:rPr>
        <w:t>l</w:t>
      </w:r>
      <w:r>
        <w:rPr>
          <w:szCs w:val="22"/>
        </w:rPr>
        <w:t>lowed study of online modules used in a variety of instructional contexts, with different student populations, and with v</w:t>
      </w:r>
      <w:r w:rsidR="00867315">
        <w:rPr>
          <w:szCs w:val="22"/>
        </w:rPr>
        <w:t xml:space="preserve">arying instructional purposes. </w:t>
      </w:r>
      <w:r>
        <w:rPr>
          <w:szCs w:val="22"/>
        </w:rPr>
        <w:t>The repeated measures design also allowed examination of the proximal and distal learning impacts.</w:t>
      </w:r>
    </w:p>
    <w:p w:rsidR="0086138E" w:rsidRDefault="00272AC7" w:rsidP="00272AC7">
      <w:pPr>
        <w:pStyle w:val="Heading1"/>
      </w:pPr>
      <w:r>
        <w:t>Methods</w:t>
      </w:r>
    </w:p>
    <w:p w:rsidR="0086138E" w:rsidRDefault="00272AC7" w:rsidP="0086138E">
      <w:pPr>
        <w:pStyle w:val="Heading2"/>
      </w:pPr>
      <w:r>
        <w:t>Description of Modules</w:t>
      </w:r>
    </w:p>
    <w:p w:rsidR="00B16CCE" w:rsidRDefault="00272AC7" w:rsidP="009A3C1A">
      <w:r>
        <w:t xml:space="preserve">Learning objects </w:t>
      </w:r>
      <w:r w:rsidRPr="007D30AC">
        <w:rPr>
          <w:szCs w:val="22"/>
        </w:rPr>
        <w:t>packaged into online modules were developed as part of a USDA grant (Agr</w:t>
      </w:r>
      <w:r w:rsidRPr="007D30AC">
        <w:rPr>
          <w:szCs w:val="22"/>
        </w:rPr>
        <w:t>i</w:t>
      </w:r>
      <w:r w:rsidRPr="007D30AC">
        <w:rPr>
          <w:szCs w:val="22"/>
        </w:rPr>
        <w:t xml:space="preserve">culture and Food Research Initiative Competitive Grant </w:t>
      </w:r>
      <w:r w:rsidR="00FF5461">
        <w:rPr>
          <w:szCs w:val="22"/>
        </w:rPr>
        <w:t>N</w:t>
      </w:r>
      <w:r w:rsidRPr="007D30AC">
        <w:rPr>
          <w:szCs w:val="22"/>
        </w:rPr>
        <w:t>o. 2011-68005-304111) designed to expand academic and outreach curricula in the broad areas of agronomy and biofuel</w:t>
      </w:r>
      <w:r w:rsidR="00867315">
        <w:rPr>
          <w:szCs w:val="22"/>
        </w:rPr>
        <w:t xml:space="preserve">. </w:t>
      </w:r>
      <w:r w:rsidRPr="007D30AC">
        <w:rPr>
          <w:szCs w:val="22"/>
        </w:rPr>
        <w:t>The mo</w:t>
      </w:r>
      <w:r w:rsidRPr="007D30AC">
        <w:rPr>
          <w:szCs w:val="22"/>
        </w:rPr>
        <w:t>d</w:t>
      </w:r>
      <w:r w:rsidRPr="007D30AC">
        <w:rPr>
          <w:szCs w:val="22"/>
        </w:rPr>
        <w:t xml:space="preserve">ules contained stand-alone content and appropriate assignments and included a combination of video, animations, graphics, text, and quizzes. </w:t>
      </w:r>
      <w:r>
        <w:rPr>
          <w:szCs w:val="22"/>
        </w:rPr>
        <w:t>The videos could be narrated P</w:t>
      </w:r>
      <w:r w:rsidR="00867315">
        <w:rPr>
          <w:szCs w:val="22"/>
        </w:rPr>
        <w:t>ower</w:t>
      </w:r>
      <w:r>
        <w:rPr>
          <w:szCs w:val="22"/>
        </w:rPr>
        <w:t>Points, tours/demonstrations of field techniques, demonstrations of calculations, or links to YouTube r</w:t>
      </w:r>
      <w:r>
        <w:rPr>
          <w:szCs w:val="22"/>
        </w:rPr>
        <w:t>e</w:t>
      </w:r>
      <w:r>
        <w:rPr>
          <w:szCs w:val="22"/>
        </w:rPr>
        <w:t xml:space="preserve">sources. </w:t>
      </w:r>
      <w:r w:rsidRPr="007D30AC">
        <w:rPr>
          <w:szCs w:val="22"/>
        </w:rPr>
        <w:t>The modules were designed to promote learner control of the navigation an</w:t>
      </w:r>
      <w:r w:rsidR="00867315">
        <w:rPr>
          <w:szCs w:val="22"/>
        </w:rPr>
        <w:t xml:space="preserve">d viewing of the material. </w:t>
      </w:r>
      <w:r w:rsidRPr="007D30AC">
        <w:rPr>
          <w:szCs w:val="22"/>
        </w:rPr>
        <w:t>Students could freely move between pages, and watch, pause, and rewind the video components. Students could also click on designated terms and access a glossary. There were also links to external content. These strategies took advantage of the capabilities of online instruction to prompt active student response, which has been shown to result in greater mastery of material (</w:t>
      </w:r>
      <w:r w:rsidR="00FF5461">
        <w:rPr>
          <w:szCs w:val="22"/>
        </w:rPr>
        <w:t>Freeman</w:t>
      </w:r>
      <w:r w:rsidRPr="007D30AC">
        <w:rPr>
          <w:szCs w:val="22"/>
        </w:rPr>
        <w:t xml:space="preserve"> et al., 2014; </w:t>
      </w:r>
      <w:r w:rsidR="00FF5461">
        <w:rPr>
          <w:szCs w:val="22"/>
        </w:rPr>
        <w:t>Nugent</w:t>
      </w:r>
      <w:r w:rsidRPr="007D30AC">
        <w:rPr>
          <w:szCs w:val="22"/>
        </w:rPr>
        <w:t xml:space="preserve"> et al., 2009)</w:t>
      </w:r>
      <w:r w:rsidR="00867315">
        <w:rPr>
          <w:szCs w:val="22"/>
        </w:rPr>
        <w:t xml:space="preserve">. </w:t>
      </w:r>
      <w:r w:rsidRPr="007D30AC">
        <w:rPr>
          <w:szCs w:val="22"/>
        </w:rPr>
        <w:t>Strategies also are forms of learner control of the le</w:t>
      </w:r>
      <w:r w:rsidRPr="007D30AC">
        <w:rPr>
          <w:szCs w:val="22"/>
        </w:rPr>
        <w:t>s</w:t>
      </w:r>
      <w:r w:rsidRPr="007D30AC">
        <w:rPr>
          <w:szCs w:val="22"/>
        </w:rPr>
        <w:t>son, which has been shown to be important to effectiveness (</w:t>
      </w:r>
      <w:proofErr w:type="spellStart"/>
      <w:r w:rsidRPr="007D30AC">
        <w:rPr>
          <w:szCs w:val="22"/>
        </w:rPr>
        <w:t>Windle</w:t>
      </w:r>
      <w:proofErr w:type="spellEnd"/>
      <w:r w:rsidRPr="007D30AC">
        <w:rPr>
          <w:szCs w:val="22"/>
        </w:rPr>
        <w:t xml:space="preserve">, McCormick, </w:t>
      </w:r>
      <w:proofErr w:type="spellStart"/>
      <w:r w:rsidRPr="007D30AC">
        <w:rPr>
          <w:szCs w:val="22"/>
        </w:rPr>
        <w:t>Dandrea</w:t>
      </w:r>
      <w:proofErr w:type="spellEnd"/>
      <w:r w:rsidRPr="007D30AC">
        <w:rPr>
          <w:szCs w:val="22"/>
        </w:rPr>
        <w:t xml:space="preserve">, &amp; </w:t>
      </w:r>
      <w:proofErr w:type="spellStart"/>
      <w:r w:rsidRPr="007D30AC">
        <w:rPr>
          <w:szCs w:val="22"/>
        </w:rPr>
        <w:t>Wharrad</w:t>
      </w:r>
      <w:proofErr w:type="spellEnd"/>
      <w:r>
        <w:rPr>
          <w:szCs w:val="22"/>
        </w:rPr>
        <w:t>, 2011).</w:t>
      </w:r>
      <w:r w:rsidR="006B64A9">
        <w:t xml:space="preserve"> </w:t>
      </w:r>
    </w:p>
    <w:p w:rsidR="006B64A9" w:rsidRDefault="00B16CCE" w:rsidP="007614E9">
      <w:pPr>
        <w:rPr>
          <w:szCs w:val="22"/>
        </w:rPr>
      </w:pPr>
      <w:r>
        <w:t>The</w:t>
      </w:r>
      <w:r w:rsidR="004E1681">
        <w:t xml:space="preserve"> </w:t>
      </w:r>
      <w:r w:rsidR="004E1681" w:rsidRPr="007D30AC">
        <w:rPr>
          <w:szCs w:val="22"/>
        </w:rPr>
        <w:t>modules were developed following an instructional design process that included a) develo</w:t>
      </w:r>
      <w:r w:rsidR="004E1681" w:rsidRPr="007D30AC">
        <w:rPr>
          <w:szCs w:val="22"/>
        </w:rPr>
        <w:t>p</w:t>
      </w:r>
      <w:r w:rsidR="004E1681" w:rsidRPr="007D30AC">
        <w:rPr>
          <w:szCs w:val="22"/>
        </w:rPr>
        <w:t>ment of learning objectives</w:t>
      </w:r>
      <w:r w:rsidR="00FF5461">
        <w:rPr>
          <w:szCs w:val="22"/>
        </w:rPr>
        <w:t>;</w:t>
      </w:r>
      <w:r w:rsidR="004E1681" w:rsidRPr="007D30AC">
        <w:rPr>
          <w:szCs w:val="22"/>
        </w:rPr>
        <w:t xml:space="preserve"> b) collaborating with content experts to refine objectives and write content</w:t>
      </w:r>
      <w:r w:rsidR="00FF5461">
        <w:rPr>
          <w:szCs w:val="22"/>
        </w:rPr>
        <w:t>;</w:t>
      </w:r>
      <w:r w:rsidR="004E1681" w:rsidRPr="007D30AC">
        <w:rPr>
          <w:szCs w:val="22"/>
        </w:rPr>
        <w:t xml:space="preserve"> c) development of learning objects such as videos, graphics, written e-lessons, and qui</w:t>
      </w:r>
      <w:r w:rsidR="004E1681" w:rsidRPr="007D30AC">
        <w:rPr>
          <w:szCs w:val="22"/>
        </w:rPr>
        <w:t>z</w:t>
      </w:r>
      <w:r w:rsidR="004E1681" w:rsidRPr="007D30AC">
        <w:rPr>
          <w:szCs w:val="22"/>
        </w:rPr>
        <w:t>zes</w:t>
      </w:r>
      <w:r w:rsidR="00FF5461">
        <w:rPr>
          <w:szCs w:val="22"/>
        </w:rPr>
        <w:t>;</w:t>
      </w:r>
      <w:r w:rsidR="004E1681" w:rsidRPr="007D30AC">
        <w:rPr>
          <w:szCs w:val="22"/>
        </w:rPr>
        <w:t xml:space="preserve"> d) internal review by content experts and revision</w:t>
      </w:r>
      <w:r w:rsidR="00FF5461">
        <w:rPr>
          <w:szCs w:val="22"/>
        </w:rPr>
        <w:t>;</w:t>
      </w:r>
      <w:r w:rsidR="004E1681" w:rsidRPr="007D30AC">
        <w:rPr>
          <w:szCs w:val="22"/>
        </w:rPr>
        <w:t xml:space="preserve"> e) public release of learning objects to </w:t>
      </w:r>
      <w:r w:rsidR="004E1681" w:rsidRPr="007D30AC">
        <w:rPr>
          <w:szCs w:val="22"/>
        </w:rPr>
        <w:lastRenderedPageBreak/>
        <w:t>students and public</w:t>
      </w:r>
      <w:r w:rsidR="00FF5461">
        <w:rPr>
          <w:szCs w:val="22"/>
        </w:rPr>
        <w:t>;</w:t>
      </w:r>
      <w:r w:rsidR="004E1681" w:rsidRPr="007D30AC">
        <w:rPr>
          <w:szCs w:val="22"/>
        </w:rPr>
        <w:t xml:space="preserve"> and f) final revision based on evaluation data</w:t>
      </w:r>
      <w:r w:rsidR="00867315">
        <w:rPr>
          <w:szCs w:val="22"/>
        </w:rPr>
        <w:t xml:space="preserve">. </w:t>
      </w:r>
      <w:r w:rsidR="004E1681" w:rsidRPr="007D30AC">
        <w:rPr>
          <w:szCs w:val="22"/>
        </w:rPr>
        <w:t>Modules were developed using Adobe Flash Animation, Camtasia, and Moodle</w:t>
      </w:r>
      <w:r w:rsidR="004E1681">
        <w:rPr>
          <w:szCs w:val="22"/>
        </w:rPr>
        <w:t xml:space="preserve"> (LMS).</w:t>
      </w:r>
    </w:p>
    <w:p w:rsidR="00902430" w:rsidRDefault="00902430" w:rsidP="00902430">
      <w:pPr>
        <w:pStyle w:val="Heading2"/>
      </w:pPr>
      <w:r>
        <w:t>Study Design</w:t>
      </w:r>
    </w:p>
    <w:p w:rsidR="00902430" w:rsidRDefault="00902430" w:rsidP="00902430">
      <w:r>
        <w:t xml:space="preserve">Because the goal </w:t>
      </w:r>
      <w:r w:rsidRPr="007D30AC">
        <w:rPr>
          <w:szCs w:val="22"/>
        </w:rPr>
        <w:t>was to examine the effectiveness of the digital materials in a variety of learning contexts, a case study approach was used, examining learning impacts across a variety of course subjects, course levels (introductory and advanced undergraduate), student levels (graduate, u</w:t>
      </w:r>
      <w:r w:rsidRPr="007D30AC">
        <w:rPr>
          <w:szCs w:val="22"/>
        </w:rPr>
        <w:t>n</w:t>
      </w:r>
      <w:r w:rsidRPr="007D30AC">
        <w:rPr>
          <w:szCs w:val="22"/>
        </w:rPr>
        <w:t>dergraduate), and instructional goals (i.e.</w:t>
      </w:r>
      <w:r w:rsidR="00FF5461">
        <w:rPr>
          <w:szCs w:val="22"/>
        </w:rPr>
        <w:t>,</w:t>
      </w:r>
      <w:r w:rsidRPr="007D30AC">
        <w:rPr>
          <w:szCs w:val="22"/>
        </w:rPr>
        <w:t xml:space="preserve"> replacement for</w:t>
      </w:r>
      <w:r w:rsidR="00867315">
        <w:rPr>
          <w:szCs w:val="22"/>
        </w:rPr>
        <w:t xml:space="preserve"> lecture, remediation). </w:t>
      </w:r>
      <w:r w:rsidRPr="007D30AC">
        <w:rPr>
          <w:szCs w:val="22"/>
        </w:rPr>
        <w:t>The case study approach provides a broad examination of ways that a module of packaged LOs is typically used in a college classroom, as well as evidence of the learning effectiveness based on different i</w:t>
      </w:r>
      <w:r w:rsidRPr="007D30AC">
        <w:rPr>
          <w:szCs w:val="22"/>
        </w:rPr>
        <w:t>n</w:t>
      </w:r>
      <w:r w:rsidRPr="007D30AC">
        <w:rPr>
          <w:szCs w:val="22"/>
        </w:rPr>
        <w:t>structional purposes and usage</w:t>
      </w:r>
      <w:r>
        <w:rPr>
          <w:szCs w:val="22"/>
        </w:rPr>
        <w:t xml:space="preserve"> contexts.</w:t>
      </w:r>
    </w:p>
    <w:p w:rsidR="006B64A9" w:rsidRDefault="00902430" w:rsidP="00087544">
      <w:r>
        <w:t xml:space="preserve">Each of the case studies </w:t>
      </w:r>
      <w:r>
        <w:rPr>
          <w:szCs w:val="22"/>
        </w:rPr>
        <w:t xml:space="preserve">followed a </w:t>
      </w:r>
      <w:r w:rsidRPr="007D30AC">
        <w:rPr>
          <w:szCs w:val="22"/>
        </w:rPr>
        <w:t xml:space="preserve">design using quantitative methods to assess the learning </w:t>
      </w:r>
      <w:r w:rsidR="00867315">
        <w:rPr>
          <w:szCs w:val="22"/>
        </w:rPr>
        <w:t xml:space="preserve">at various course time points. </w:t>
      </w:r>
      <w:r w:rsidRPr="007D30AC">
        <w:rPr>
          <w:szCs w:val="22"/>
        </w:rPr>
        <w:t>All cases used measures of proximal learning evidenced by asses</w:t>
      </w:r>
      <w:r w:rsidRPr="007D30AC">
        <w:rPr>
          <w:szCs w:val="22"/>
        </w:rPr>
        <w:t>s</w:t>
      </w:r>
      <w:r w:rsidRPr="007D30AC">
        <w:rPr>
          <w:szCs w:val="22"/>
        </w:rPr>
        <w:t>ment given immediately after completing the module, as well as distal learning as m</w:t>
      </w:r>
      <w:r w:rsidR="00867315">
        <w:rPr>
          <w:szCs w:val="22"/>
        </w:rPr>
        <w:t xml:space="preserve">easured by course final exams. </w:t>
      </w:r>
      <w:r w:rsidRPr="007D30AC">
        <w:rPr>
          <w:szCs w:val="22"/>
        </w:rPr>
        <w:t>Learning data was collected at baseline (beginning of course, prior to intr</w:t>
      </w:r>
      <w:r w:rsidRPr="007D30AC">
        <w:rPr>
          <w:szCs w:val="22"/>
        </w:rPr>
        <w:t>o</w:t>
      </w:r>
      <w:r w:rsidRPr="007D30AC">
        <w:rPr>
          <w:szCs w:val="22"/>
        </w:rPr>
        <w:t>duction of module), post module (afte</w:t>
      </w:r>
      <w:r w:rsidR="00FF5461">
        <w:rPr>
          <w:szCs w:val="22"/>
        </w:rPr>
        <w:t>r students had completed the on</w:t>
      </w:r>
      <w:r w:rsidRPr="007D30AC">
        <w:rPr>
          <w:szCs w:val="22"/>
        </w:rPr>
        <w:t>line module)</w:t>
      </w:r>
      <w:r w:rsidR="004F5295">
        <w:rPr>
          <w:szCs w:val="22"/>
        </w:rPr>
        <w:t>,</w:t>
      </w:r>
      <w:r w:rsidRPr="007D30AC">
        <w:rPr>
          <w:szCs w:val="22"/>
        </w:rPr>
        <w:t xml:space="preserve"> and the en</w:t>
      </w:r>
      <w:r w:rsidR="00867315">
        <w:rPr>
          <w:szCs w:val="22"/>
        </w:rPr>
        <w:t>d of the semester (final exam).</w:t>
      </w:r>
      <w:r w:rsidRPr="007D30AC">
        <w:rPr>
          <w:szCs w:val="22"/>
        </w:rPr>
        <w:t xml:space="preserve"> This repeated measures design allowed examination of the immediate impact of the digital modules (from baseline to post-module), as well as the retention of learning to the end of the semester (from post-module to end of</w:t>
      </w:r>
      <w:r>
        <w:rPr>
          <w:szCs w:val="22"/>
        </w:rPr>
        <w:t xml:space="preserve"> course)</w:t>
      </w:r>
      <w:r w:rsidR="00B16CCE">
        <w:t>.</w:t>
      </w:r>
    </w:p>
    <w:p w:rsidR="00AD502F" w:rsidRDefault="00902430" w:rsidP="00040867">
      <w:pPr>
        <w:pStyle w:val="Heading1"/>
      </w:pPr>
      <w:r>
        <w:t xml:space="preserve">Case Study One: Online Module as </w:t>
      </w:r>
      <w:r w:rsidR="001F35A6">
        <w:br/>
      </w:r>
      <w:r>
        <w:t>Primary Learning Material and Remediation</w:t>
      </w:r>
    </w:p>
    <w:p w:rsidR="00AD502F" w:rsidRDefault="00902430" w:rsidP="00040867">
      <w:r>
        <w:t xml:space="preserve">This case study </w:t>
      </w:r>
      <w:r w:rsidRPr="007D30AC">
        <w:rPr>
          <w:szCs w:val="22"/>
        </w:rPr>
        <w:t>compared the learning impact of a module intended as primary learning material in a 200 level university course (introductory level) versus use as remediation and refresher for prerequisite content</w:t>
      </w:r>
      <w:r w:rsidR="00867315">
        <w:rPr>
          <w:szCs w:val="22"/>
        </w:rPr>
        <w:t xml:space="preserve"> for a more advanced class. </w:t>
      </w:r>
      <w:r w:rsidRPr="007D30AC">
        <w:rPr>
          <w:szCs w:val="22"/>
        </w:rPr>
        <w:t xml:space="preserve">The study involved use of a single module, </w:t>
      </w:r>
      <w:r w:rsidRPr="00502629">
        <w:rPr>
          <w:szCs w:val="22"/>
        </w:rPr>
        <w:t>“Pe</w:t>
      </w:r>
      <w:r w:rsidRPr="00502629">
        <w:rPr>
          <w:szCs w:val="22"/>
        </w:rPr>
        <w:t>r</w:t>
      </w:r>
      <w:r w:rsidRPr="00502629">
        <w:rPr>
          <w:szCs w:val="22"/>
        </w:rPr>
        <w:t>ennial Grass Growth and Development,” (</w:t>
      </w:r>
      <w:hyperlink r:id="rId17" w:history="1">
        <w:r w:rsidR="00FF5461" w:rsidRPr="007E6AA4">
          <w:rPr>
            <w:rStyle w:val="Hyperlink"/>
            <w:szCs w:val="22"/>
          </w:rPr>
          <w:t>http://passel.unl.edu/communities/index.php?idinformationmodule=1130447263&amp;idcollectionmodule=1130274200</w:t>
        </w:r>
      </w:hyperlink>
      <w:r w:rsidRPr="007D30AC">
        <w:rPr>
          <w:szCs w:val="22"/>
        </w:rPr>
        <w:t xml:space="preserve">) used by two different professors at two </w:t>
      </w:r>
      <w:r w:rsidR="00867315">
        <w:rPr>
          <w:szCs w:val="22"/>
        </w:rPr>
        <w:t xml:space="preserve">different universities. </w:t>
      </w:r>
      <w:r w:rsidRPr="007D30AC">
        <w:rPr>
          <w:szCs w:val="22"/>
        </w:rPr>
        <w:t>The first pr</w:t>
      </w:r>
      <w:r w:rsidRPr="007D30AC">
        <w:rPr>
          <w:szCs w:val="22"/>
        </w:rPr>
        <w:t>o</w:t>
      </w:r>
      <w:r w:rsidRPr="007D30AC">
        <w:rPr>
          <w:szCs w:val="22"/>
        </w:rPr>
        <w:t>fessor used the module as a substitute for a single lecture in a 200 level undergraduate soil sc</w:t>
      </w:r>
      <w:r w:rsidRPr="007D30AC">
        <w:rPr>
          <w:szCs w:val="22"/>
        </w:rPr>
        <w:t>i</w:t>
      </w:r>
      <w:r w:rsidRPr="007D30AC">
        <w:rPr>
          <w:szCs w:val="22"/>
        </w:rPr>
        <w:t>ence class. Students in this class (n</w:t>
      </w:r>
      <w:r w:rsidR="00FF5461">
        <w:rPr>
          <w:szCs w:val="22"/>
        </w:rPr>
        <w:t xml:space="preserve"> </w:t>
      </w:r>
      <w:r w:rsidRPr="007D30AC">
        <w:rPr>
          <w:szCs w:val="22"/>
        </w:rPr>
        <w:t>=</w:t>
      </w:r>
      <w:r w:rsidR="00FF5461">
        <w:rPr>
          <w:szCs w:val="22"/>
        </w:rPr>
        <w:t xml:space="preserve"> </w:t>
      </w:r>
      <w:r w:rsidRPr="007D30AC">
        <w:rPr>
          <w:szCs w:val="22"/>
        </w:rPr>
        <w:t>68) represented a mix of sophomores (25%), jun</w:t>
      </w:r>
      <w:r w:rsidR="00867315">
        <w:rPr>
          <w:szCs w:val="22"/>
        </w:rPr>
        <w:t xml:space="preserve">iors (45%), and seniors (30%). </w:t>
      </w:r>
      <w:r w:rsidRPr="007D30AC">
        <w:rPr>
          <w:szCs w:val="22"/>
        </w:rPr>
        <w:t xml:space="preserve">The majority were carrying a GPA of 3.0–3.4.  Most were male (91%), and classified themselves as agronomy majors (52%). </w:t>
      </w:r>
      <w:r w:rsidR="00FF5461">
        <w:rPr>
          <w:szCs w:val="22"/>
        </w:rPr>
        <w:t xml:space="preserve">Eighty-five percent </w:t>
      </w:r>
      <w:r w:rsidRPr="007D30AC">
        <w:rPr>
          <w:szCs w:val="22"/>
        </w:rPr>
        <w:t>of the students reported that the course was required for their</w:t>
      </w:r>
      <w:r>
        <w:t xml:space="preserve"> major</w:t>
      </w:r>
      <w:r w:rsidR="0042429F">
        <w:t>.</w:t>
      </w:r>
    </w:p>
    <w:p w:rsidR="00087544" w:rsidRDefault="00087544" w:rsidP="00040867">
      <w:pPr>
        <w:rPr>
          <w:szCs w:val="22"/>
        </w:rPr>
      </w:pPr>
      <w:r>
        <w:t xml:space="preserve">The second </w:t>
      </w:r>
      <w:r w:rsidRPr="007D30AC">
        <w:rPr>
          <w:szCs w:val="22"/>
        </w:rPr>
        <w:t>professor, located at a different university, used the same module of learning objects to provide remediation and background material for a 400 level soil science class (advanced le</w:t>
      </w:r>
      <w:r w:rsidRPr="007D30AC">
        <w:rPr>
          <w:szCs w:val="22"/>
        </w:rPr>
        <w:t>v</w:t>
      </w:r>
      <w:r w:rsidRPr="007D30AC">
        <w:rPr>
          <w:szCs w:val="22"/>
        </w:rPr>
        <w:t>el)</w:t>
      </w:r>
      <w:r w:rsidR="00867315">
        <w:rPr>
          <w:szCs w:val="22"/>
        </w:rPr>
        <w:t>.</w:t>
      </w:r>
      <w:r w:rsidRPr="007D30AC">
        <w:rPr>
          <w:szCs w:val="22"/>
        </w:rPr>
        <w:t xml:space="preserve"> The demographics for this class (n</w:t>
      </w:r>
      <w:r w:rsidR="00FF5461">
        <w:rPr>
          <w:szCs w:val="22"/>
        </w:rPr>
        <w:t xml:space="preserve"> </w:t>
      </w:r>
      <w:r w:rsidRPr="007D30AC">
        <w:rPr>
          <w:szCs w:val="22"/>
        </w:rPr>
        <w:t>=</w:t>
      </w:r>
      <w:r w:rsidR="00FF5461">
        <w:rPr>
          <w:szCs w:val="22"/>
        </w:rPr>
        <w:t xml:space="preserve"> </w:t>
      </w:r>
      <w:r w:rsidRPr="007D30AC">
        <w:rPr>
          <w:szCs w:val="22"/>
        </w:rPr>
        <w:t>13) represented it upper level status, with 46% graduate students,</w:t>
      </w:r>
      <w:r w:rsidR="00867315">
        <w:rPr>
          <w:szCs w:val="22"/>
        </w:rPr>
        <w:t xml:space="preserve"> 31% seniors, and 23% juniors. </w:t>
      </w:r>
      <w:r w:rsidRPr="007D30AC">
        <w:rPr>
          <w:szCs w:val="22"/>
        </w:rPr>
        <w:t>The gender split was 69% male</w:t>
      </w:r>
      <w:r w:rsidR="00FF5461">
        <w:rPr>
          <w:szCs w:val="22"/>
        </w:rPr>
        <w:t xml:space="preserve"> and</w:t>
      </w:r>
      <w:r w:rsidRPr="007D30AC">
        <w:rPr>
          <w:szCs w:val="22"/>
        </w:rPr>
        <w:t xml:space="preserve"> 31% female. Majors were varied, with typical majors being bioenergy and biological</w:t>
      </w:r>
      <w:r>
        <w:rPr>
          <w:szCs w:val="22"/>
        </w:rPr>
        <w:t xml:space="preserve"> engineering.</w:t>
      </w:r>
    </w:p>
    <w:p w:rsidR="00087544" w:rsidRDefault="00087544" w:rsidP="00040867">
      <w:r>
        <w:rPr>
          <w:szCs w:val="22"/>
        </w:rPr>
        <w:t xml:space="preserve">Both professors </w:t>
      </w:r>
      <w:r w:rsidRPr="007D30AC">
        <w:rPr>
          <w:szCs w:val="22"/>
        </w:rPr>
        <w:t>used the same assessment consisting of 11 multiple choice questions that covered material presented in the module</w:t>
      </w:r>
      <w:r w:rsidR="00867315">
        <w:rPr>
          <w:szCs w:val="22"/>
        </w:rPr>
        <w:t xml:space="preserve">. </w:t>
      </w:r>
      <w:r w:rsidRPr="007D30AC">
        <w:rPr>
          <w:szCs w:val="22"/>
        </w:rPr>
        <w:t>They also followed the same data collection protocol, with the same quiz given at the beginning of the school year (baseline), after viewing the LOs (post-LO), and end of course (final exam). This sequence of assessments allowed for a repeated measures design with three data collection points</w:t>
      </w:r>
      <w:r>
        <w:rPr>
          <w:szCs w:val="22"/>
        </w:rPr>
        <w:t>.</w:t>
      </w:r>
    </w:p>
    <w:p w:rsidR="00AD502F" w:rsidRDefault="00040867" w:rsidP="00040867">
      <w:pPr>
        <w:pStyle w:val="Heading2"/>
      </w:pPr>
      <w:r>
        <w:t>Results</w:t>
      </w:r>
    </w:p>
    <w:p w:rsidR="00AD502F" w:rsidRDefault="00AD502F" w:rsidP="00040867">
      <w:r w:rsidRPr="00D121E0">
        <w:t>A</w:t>
      </w:r>
      <w:r w:rsidR="00040867">
        <w:t xml:space="preserve"> split plot </w:t>
      </w:r>
      <w:r w:rsidR="00040867" w:rsidRPr="007D30AC">
        <w:rPr>
          <w:szCs w:val="22"/>
        </w:rPr>
        <w:t>analysis with time as the within variable and course as the between showed no signi</w:t>
      </w:r>
      <w:r w:rsidR="00040867" w:rsidRPr="007D30AC">
        <w:rPr>
          <w:szCs w:val="22"/>
        </w:rPr>
        <w:t>f</w:t>
      </w:r>
      <w:r w:rsidR="00040867" w:rsidRPr="007D30AC">
        <w:rPr>
          <w:szCs w:val="22"/>
        </w:rPr>
        <w:t>icant time by course interaction (Λ =</w:t>
      </w:r>
      <w:r w:rsidR="00867315">
        <w:rPr>
          <w:szCs w:val="22"/>
        </w:rPr>
        <w:t xml:space="preserve"> .96, </w:t>
      </w:r>
      <w:proofErr w:type="gramStart"/>
      <w:r w:rsidR="00867315">
        <w:rPr>
          <w:szCs w:val="22"/>
        </w:rPr>
        <w:t>F(</w:t>
      </w:r>
      <w:proofErr w:type="gramEnd"/>
      <w:r w:rsidR="00867315">
        <w:rPr>
          <w:szCs w:val="22"/>
        </w:rPr>
        <w:t>2,72) = 1.68, p = .19</w:t>
      </w:r>
      <w:r w:rsidR="00FF5461">
        <w:rPr>
          <w:szCs w:val="22"/>
        </w:rPr>
        <w:t>)</w:t>
      </w:r>
      <w:r w:rsidR="00867315">
        <w:rPr>
          <w:szCs w:val="22"/>
        </w:rPr>
        <w:t xml:space="preserve">. </w:t>
      </w:r>
      <w:r w:rsidR="00040867" w:rsidRPr="007D30AC">
        <w:rPr>
          <w:szCs w:val="22"/>
        </w:rPr>
        <w:t xml:space="preserve">However, the main effect for </w:t>
      </w:r>
      <w:r w:rsidR="00040867" w:rsidRPr="007D30AC">
        <w:rPr>
          <w:szCs w:val="22"/>
        </w:rPr>
        <w:lastRenderedPageBreak/>
        <w:t xml:space="preserve">time was significant (Λ = .35, </w:t>
      </w:r>
      <w:proofErr w:type="gramStart"/>
      <w:r w:rsidR="00040867" w:rsidRPr="007D30AC">
        <w:rPr>
          <w:szCs w:val="22"/>
        </w:rPr>
        <w:t>F(</w:t>
      </w:r>
      <w:proofErr w:type="gramEnd"/>
      <w:r w:rsidR="00040867" w:rsidRPr="007D30AC">
        <w:rPr>
          <w:szCs w:val="22"/>
        </w:rPr>
        <w:t>2,72) = 67.12, p &lt; .0001</w:t>
      </w:r>
      <w:r w:rsidR="00501ABF">
        <w:rPr>
          <w:szCs w:val="22"/>
        </w:rPr>
        <w:t>, partial η</w:t>
      </w:r>
      <w:r w:rsidR="00501ABF">
        <w:rPr>
          <w:szCs w:val="22"/>
          <w:vertAlign w:val="superscript"/>
        </w:rPr>
        <w:t xml:space="preserve">2 </w:t>
      </w:r>
      <w:r w:rsidR="00501ABF">
        <w:rPr>
          <w:szCs w:val="22"/>
        </w:rPr>
        <w:t xml:space="preserve"> = .65</w:t>
      </w:r>
      <w:r w:rsidR="00040867" w:rsidRPr="007D30AC">
        <w:rPr>
          <w:szCs w:val="22"/>
        </w:rPr>
        <w:t>), documenting changes in learning across the three time points. In order to isolate specific changes between time points, one-way within subjects ANOVAs were run, followed up by pairwise comparisons</w:t>
      </w:r>
      <w:r w:rsidR="00867315">
        <w:rPr>
          <w:szCs w:val="22"/>
        </w:rPr>
        <w:t xml:space="preserve">. </w:t>
      </w:r>
      <w:r w:rsidR="00040867" w:rsidRPr="007D30AC">
        <w:rPr>
          <w:szCs w:val="22"/>
        </w:rPr>
        <w:t>Results showed significant increases in both courses from pre</w:t>
      </w:r>
      <w:r w:rsidR="00FF5461">
        <w:rPr>
          <w:szCs w:val="22"/>
        </w:rPr>
        <w:t>-</w:t>
      </w:r>
      <w:r w:rsidR="00040867" w:rsidRPr="007D30AC">
        <w:rPr>
          <w:szCs w:val="22"/>
        </w:rPr>
        <w:t xml:space="preserve"> to post-module</w:t>
      </w:r>
      <w:r w:rsidR="00FF5461">
        <w:rPr>
          <w:szCs w:val="22"/>
        </w:rPr>
        <w:t>—</w:t>
      </w:r>
      <w:r w:rsidR="00040867" w:rsidRPr="007D30AC">
        <w:rPr>
          <w:szCs w:val="22"/>
        </w:rPr>
        <w:t xml:space="preserve">200 level class: </w:t>
      </w:r>
      <w:proofErr w:type="gramStart"/>
      <w:r w:rsidR="00040867" w:rsidRPr="007D30AC">
        <w:rPr>
          <w:szCs w:val="22"/>
        </w:rPr>
        <w:t>t(</w:t>
      </w:r>
      <w:proofErr w:type="gramEnd"/>
      <w:r w:rsidR="00040867" w:rsidRPr="007D30AC">
        <w:rPr>
          <w:szCs w:val="22"/>
        </w:rPr>
        <w:t>63) = 13.03, p &lt; .0001</w:t>
      </w:r>
      <w:r w:rsidR="00501ABF">
        <w:rPr>
          <w:szCs w:val="22"/>
        </w:rPr>
        <w:t>, d = 1.60</w:t>
      </w:r>
      <w:r w:rsidR="00040867" w:rsidRPr="007D30AC">
        <w:rPr>
          <w:szCs w:val="22"/>
        </w:rPr>
        <w:t>; 400 level class: t(12) = 4.99, p &lt; .0001</w:t>
      </w:r>
      <w:r w:rsidR="00501ABF">
        <w:rPr>
          <w:szCs w:val="22"/>
        </w:rPr>
        <w:t>, d = 1.38</w:t>
      </w:r>
      <w:r w:rsidR="00C2175C">
        <w:rPr>
          <w:szCs w:val="22"/>
        </w:rPr>
        <w:t>,</w:t>
      </w:r>
      <w:r w:rsidR="00040867" w:rsidRPr="007D30AC">
        <w:rPr>
          <w:szCs w:val="22"/>
        </w:rPr>
        <w:t xml:space="preserve"> and a nonsignificant change (slight decrease) from post-LO to final 200 level class: t(63) = 1.13, p = .26; 400 level class: t (11) = 1.43, p = .18).  Figure 1 shows the pattern of results for the two</w:t>
      </w:r>
      <w:r w:rsidR="00040867">
        <w:rPr>
          <w:szCs w:val="22"/>
        </w:rPr>
        <w:t xml:space="preserve"> classes</w:t>
      </w:r>
      <w:r w:rsidRPr="00D121E0">
        <w:t>.</w:t>
      </w:r>
    </w:p>
    <w:p w:rsidR="00040867" w:rsidRDefault="008F3137" w:rsidP="004F5295">
      <w:pPr>
        <w:jc w:val="center"/>
      </w:pPr>
      <w:r>
        <w:rPr>
          <w:noProof/>
        </w:rPr>
        <mc:AlternateContent>
          <mc:Choice Requires="wps">
            <w:drawing>
              <wp:inline distT="0" distB="0" distL="0" distR="0">
                <wp:extent cx="3840480" cy="2118250"/>
                <wp:effectExtent l="0" t="0" r="26670" b="15875"/>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2118250"/>
                        </a:xfrm>
                        <a:prstGeom prst="rect">
                          <a:avLst/>
                        </a:prstGeom>
                        <a:solidFill>
                          <a:srgbClr val="FFFFFF"/>
                        </a:solidFill>
                        <a:ln w="9525">
                          <a:solidFill>
                            <a:srgbClr val="000000"/>
                          </a:solidFill>
                          <a:miter lim="800000"/>
                          <a:headEnd/>
                          <a:tailEnd/>
                        </a:ln>
                      </wps:spPr>
                      <wps:txbx>
                        <w:txbxContent>
                          <w:p w:rsidR="00040867" w:rsidRDefault="00040867">
                            <w:r>
                              <w:rPr>
                                <w:noProof/>
                              </w:rPr>
                              <w:drawing>
                                <wp:inline distT="0" distB="0" distL="0" distR="0" wp14:anchorId="381B1EFA" wp14:editId="038036F7">
                                  <wp:extent cx="3648075" cy="1971675"/>
                                  <wp:effectExtent l="0" t="0" r="9525"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xbxContent>
                      </wps:txbx>
                      <wps:bodyPr rot="0" vert="horz" wrap="square" lIns="91440" tIns="45720" rIns="91440" bIns="45720" anchor="t" anchorCtr="0">
                        <a:noAutofit/>
                      </wps:bodyPr>
                    </wps:wsp>
                  </a:graphicData>
                </a:graphic>
              </wp:inline>
            </w:drawing>
          </mc:Choice>
          <mc:Fallback xmlns:w15="http://schemas.microsoft.com/office/word/2012/wordml">
            <w:pict>
              <v:shape id="Text Box 2" o:spid="_x0000_s1027" type="#_x0000_t202" style="width:302.4pt;height:16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">
                <v:textbox>
                  <w:txbxContent>
                    <w:p w:rsidR="00040867" w:rsidRDefault="00040867">
                      <w:r>
                        <w:rPr>
                          <w:noProof/>
                        </w:rPr>
                        <w:drawing>
                          <wp:inline distT="0" distB="0" distL="0" distR="0" wp14:anchorId="381B1EFA" wp14:editId="038036F7">
                            <wp:extent cx="3648075" cy="1971675"/>
                            <wp:effectExtent l="0" t="0" r="9525"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xbxContent>
                </v:textbox>
                <w10:anchorlock/>
              </v:shape>
            </w:pict>
          </mc:Fallback>
        </mc:AlternateContent>
      </w:r>
    </w:p>
    <w:p w:rsidR="00EF26EA" w:rsidRPr="00040867" w:rsidRDefault="00EF26EA" w:rsidP="00EF26EA">
      <w:pPr>
        <w:jc w:val="center"/>
        <w:rPr>
          <w:b/>
        </w:rPr>
      </w:pPr>
      <w:r w:rsidRPr="00040867">
        <w:rPr>
          <w:b/>
        </w:rPr>
        <w:t xml:space="preserve">Figure 1: LO learning impacts in two classes. Percent represents </w:t>
      </w:r>
      <w:r>
        <w:rPr>
          <w:b/>
        </w:rPr>
        <w:br/>
      </w:r>
      <w:r w:rsidRPr="00040867">
        <w:rPr>
          <w:b/>
        </w:rPr>
        <w:t>the score or % of assessment questions answered correctly.</w:t>
      </w:r>
    </w:p>
    <w:p w:rsidR="008955A4" w:rsidRDefault="008955A4" w:rsidP="008955A4">
      <w:pPr>
        <w:pStyle w:val="Heading2"/>
      </w:pPr>
      <w:r>
        <w:t>Discussion</w:t>
      </w:r>
    </w:p>
    <w:p w:rsidR="00040867" w:rsidRDefault="00EF26EA" w:rsidP="008955A4">
      <w:r>
        <w:t>The r</w:t>
      </w:r>
      <w:r w:rsidR="008955A4">
        <w:t xml:space="preserve">esults provide </w:t>
      </w:r>
      <w:r w:rsidR="008955A4" w:rsidRPr="007D30AC">
        <w:rPr>
          <w:szCs w:val="22"/>
        </w:rPr>
        <w:t>clear evidence that the module had a similar learning impact, despite diffe</w:t>
      </w:r>
      <w:r w:rsidR="008955A4" w:rsidRPr="007D30AC">
        <w:rPr>
          <w:szCs w:val="22"/>
        </w:rPr>
        <w:t>r</w:t>
      </w:r>
      <w:r w:rsidR="008955A4" w:rsidRPr="007D30AC">
        <w:rPr>
          <w:szCs w:val="22"/>
        </w:rPr>
        <w:t>ences in its intended purpose for the two classes. Because the baseline results (pre</w:t>
      </w:r>
      <w:r w:rsidR="00FF5461">
        <w:rPr>
          <w:szCs w:val="22"/>
        </w:rPr>
        <w:t>-</w:t>
      </w:r>
      <w:r w:rsidR="008955A4" w:rsidRPr="007D30AC">
        <w:rPr>
          <w:szCs w:val="22"/>
        </w:rPr>
        <w:t xml:space="preserve">module) for the two classes were similar, it appears that, in general, students in the 400 level class did </w:t>
      </w:r>
      <w:r w:rsidR="008955A4" w:rsidRPr="007D30AC">
        <w:rPr>
          <w:i/>
          <w:szCs w:val="22"/>
        </w:rPr>
        <w:t>not</w:t>
      </w:r>
      <w:r w:rsidR="008955A4" w:rsidRPr="007D30AC">
        <w:rPr>
          <w:szCs w:val="22"/>
        </w:rPr>
        <w:t xml:space="preserve"> have more content knowledge than the lower level course at the beginning of the course, as was expected</w:t>
      </w:r>
      <w:r w:rsidR="00867315">
        <w:rPr>
          <w:szCs w:val="22"/>
        </w:rPr>
        <w:t xml:space="preserve">. </w:t>
      </w:r>
      <w:r w:rsidR="008955A4" w:rsidRPr="007D30AC">
        <w:rPr>
          <w:szCs w:val="22"/>
        </w:rPr>
        <w:t>Thus, the module appeared to serve the same purpose in both classes</w:t>
      </w:r>
      <w:r w:rsidR="00FF5461">
        <w:rPr>
          <w:szCs w:val="22"/>
        </w:rPr>
        <w:t>—</w:t>
      </w:r>
      <w:r w:rsidR="008955A4" w:rsidRPr="007D30AC">
        <w:rPr>
          <w:szCs w:val="22"/>
        </w:rPr>
        <w:t>as primary learning mater</w:t>
      </w:r>
      <w:r w:rsidR="00867315">
        <w:rPr>
          <w:szCs w:val="22"/>
        </w:rPr>
        <w:t xml:space="preserve">ial. </w:t>
      </w:r>
      <w:r w:rsidR="008955A4" w:rsidRPr="007D30AC">
        <w:rPr>
          <w:szCs w:val="22"/>
        </w:rPr>
        <w:t xml:space="preserve">It is important to note that results from both classes </w:t>
      </w:r>
      <w:r w:rsidR="008955A4">
        <w:rPr>
          <w:szCs w:val="22"/>
        </w:rPr>
        <w:t>showed a significant</w:t>
      </w:r>
      <w:r w:rsidR="008955A4" w:rsidRPr="007D30AC">
        <w:rPr>
          <w:szCs w:val="22"/>
        </w:rPr>
        <w:t xml:space="preserve"> i</w:t>
      </w:r>
      <w:r w:rsidR="008955A4" w:rsidRPr="007D30AC">
        <w:rPr>
          <w:szCs w:val="22"/>
        </w:rPr>
        <w:t>n</w:t>
      </w:r>
      <w:r w:rsidR="008955A4" w:rsidRPr="007D30AC">
        <w:rPr>
          <w:szCs w:val="22"/>
        </w:rPr>
        <w:t>crease in learning as a result of viewing the module, followed by a stabilization</w:t>
      </w:r>
      <w:r w:rsidR="00867315">
        <w:rPr>
          <w:szCs w:val="22"/>
        </w:rPr>
        <w:t xml:space="preserve"> or retention of the learning. </w:t>
      </w:r>
      <w:r w:rsidR="008955A4" w:rsidRPr="007D30AC">
        <w:rPr>
          <w:szCs w:val="22"/>
        </w:rPr>
        <w:t xml:space="preserve">The use at two different universities with two different courses provides </w:t>
      </w:r>
      <w:r w:rsidR="00501ABF">
        <w:rPr>
          <w:szCs w:val="22"/>
        </w:rPr>
        <w:t xml:space="preserve">greater </w:t>
      </w:r>
      <w:r w:rsidR="008955A4" w:rsidRPr="007D30AC">
        <w:rPr>
          <w:szCs w:val="22"/>
        </w:rPr>
        <w:t>genera</w:t>
      </w:r>
      <w:r w:rsidR="008955A4" w:rsidRPr="007D30AC">
        <w:rPr>
          <w:szCs w:val="22"/>
        </w:rPr>
        <w:t>l</w:t>
      </w:r>
      <w:r w:rsidR="008955A4" w:rsidRPr="007D30AC">
        <w:rPr>
          <w:szCs w:val="22"/>
        </w:rPr>
        <w:t>izability of results regarding the effectiveness of learning objects in increasing student learning and promoting learning</w:t>
      </w:r>
      <w:r w:rsidR="008955A4">
        <w:rPr>
          <w:szCs w:val="22"/>
        </w:rPr>
        <w:t xml:space="preserve"> retention.</w:t>
      </w:r>
    </w:p>
    <w:p w:rsidR="00040867" w:rsidRPr="00D121E0" w:rsidRDefault="008955A4" w:rsidP="008955A4">
      <w:pPr>
        <w:pStyle w:val="Heading1"/>
      </w:pPr>
      <w:r>
        <w:t xml:space="preserve">Case Study Two: Module Used with </w:t>
      </w:r>
      <w:r w:rsidR="001F35A6">
        <w:br/>
      </w:r>
      <w:r>
        <w:t>Follow-Up Lab Practice</w:t>
      </w:r>
    </w:p>
    <w:p w:rsidR="00AD502F" w:rsidRDefault="008955A4" w:rsidP="008955A4">
      <w:r>
        <w:t xml:space="preserve">Case study 2 </w:t>
      </w:r>
      <w:r w:rsidRPr="007D30AC">
        <w:rPr>
          <w:szCs w:val="22"/>
        </w:rPr>
        <w:t>involved use of a different module focusing on “Establishment of Switchgrass and Other Perennial Grass Stands” (</w:t>
      </w:r>
      <w:hyperlink r:id="rId20" w:history="1">
        <w:r w:rsidR="00FF5461" w:rsidRPr="007E6AA4">
          <w:rPr>
            <w:rStyle w:val="Hyperlink"/>
            <w:szCs w:val="22"/>
          </w:rPr>
          <w:t>http://passel.unl.edu/communities/index.php?idinformationmodule=1130447188&amp;idcollectionmodule=1130274200</w:t>
        </w:r>
      </w:hyperlink>
      <w:r>
        <w:rPr>
          <w:szCs w:val="22"/>
        </w:rPr>
        <w:t>)</w:t>
      </w:r>
      <w:r w:rsidRPr="007D30AC">
        <w:rPr>
          <w:szCs w:val="22"/>
        </w:rPr>
        <w:t>. The material required application of knowledge through the use of specific formulas and calculations to determine amount of seeds needed, percent germination, etc</w:t>
      </w:r>
      <w:r w:rsidR="00867315">
        <w:rPr>
          <w:szCs w:val="22"/>
        </w:rPr>
        <w:t xml:space="preserve">. </w:t>
      </w:r>
      <w:r w:rsidRPr="007D30AC">
        <w:rPr>
          <w:szCs w:val="22"/>
        </w:rPr>
        <w:t>The study examined a) the learning impact from viewing the packaged learning objects, b) the value-added learning impact of participating in a lab with practice with the content and needed calcul</w:t>
      </w:r>
      <w:r w:rsidRPr="007D30AC">
        <w:rPr>
          <w:szCs w:val="22"/>
        </w:rPr>
        <w:t>a</w:t>
      </w:r>
      <w:r w:rsidRPr="007D30AC">
        <w:rPr>
          <w:szCs w:val="22"/>
        </w:rPr>
        <w:t>tions, and c) the retention effe</w:t>
      </w:r>
      <w:r w:rsidR="00867315">
        <w:rPr>
          <w:szCs w:val="22"/>
        </w:rPr>
        <w:t xml:space="preserve">ct to the end of the semester. </w:t>
      </w:r>
      <w:r w:rsidRPr="007D30AC">
        <w:rPr>
          <w:szCs w:val="22"/>
        </w:rPr>
        <w:t>A major area of inquiry was looking at the singular effect of the module and the combined effect of the module with additional lab</w:t>
      </w:r>
      <w:r>
        <w:rPr>
          <w:szCs w:val="22"/>
        </w:rPr>
        <w:t xml:space="preserve"> pra</w:t>
      </w:r>
      <w:r>
        <w:rPr>
          <w:szCs w:val="22"/>
        </w:rPr>
        <w:t>c</w:t>
      </w:r>
      <w:r>
        <w:rPr>
          <w:szCs w:val="22"/>
        </w:rPr>
        <w:t>tice</w:t>
      </w:r>
      <w:r w:rsidR="00AD502F" w:rsidRPr="00D121E0">
        <w:t>.</w:t>
      </w:r>
    </w:p>
    <w:p w:rsidR="008955A4" w:rsidRDefault="008955A4" w:rsidP="008955A4">
      <w:pPr>
        <w:rPr>
          <w:szCs w:val="22"/>
        </w:rPr>
      </w:pPr>
      <w:r>
        <w:lastRenderedPageBreak/>
        <w:t xml:space="preserve">The module </w:t>
      </w:r>
      <w:r w:rsidRPr="007D30AC">
        <w:rPr>
          <w:szCs w:val="22"/>
        </w:rPr>
        <w:t>was used in the same 200 level undergraduate soil science class from study 1, but in a different s</w:t>
      </w:r>
      <w:r w:rsidR="00867315">
        <w:rPr>
          <w:szCs w:val="22"/>
        </w:rPr>
        <w:t xml:space="preserve">emester. </w:t>
      </w:r>
      <w:r w:rsidRPr="007D30AC">
        <w:rPr>
          <w:szCs w:val="22"/>
        </w:rPr>
        <w:t>This module replaced what the instructor typically presented in a lecture and was followed up with a lab where students had direct practice using the formulas and making the appropriate calculations</w:t>
      </w:r>
      <w:r w:rsidR="00867315">
        <w:rPr>
          <w:szCs w:val="22"/>
        </w:rPr>
        <w:t xml:space="preserve">. </w:t>
      </w:r>
      <w:r w:rsidRPr="007D30AC">
        <w:rPr>
          <w:szCs w:val="22"/>
        </w:rPr>
        <w:t>The learning was measured through presentation of a planting scenario that</w:t>
      </w:r>
      <w:r w:rsidR="008E1858">
        <w:rPr>
          <w:szCs w:val="22"/>
        </w:rPr>
        <w:t xml:space="preserve"> required </w:t>
      </w:r>
      <w:r w:rsidR="00867315">
        <w:rPr>
          <w:szCs w:val="22"/>
        </w:rPr>
        <w:t xml:space="preserve">calculations. </w:t>
      </w:r>
      <w:r w:rsidRPr="007D30AC">
        <w:rPr>
          <w:szCs w:val="22"/>
        </w:rPr>
        <w:t>The assessment was given at three time points: following student vie</w:t>
      </w:r>
      <w:r w:rsidRPr="007D30AC">
        <w:rPr>
          <w:szCs w:val="22"/>
        </w:rPr>
        <w:t>w</w:t>
      </w:r>
      <w:r w:rsidRPr="007D30AC">
        <w:rPr>
          <w:szCs w:val="22"/>
        </w:rPr>
        <w:t>ing of the LOs (a non-graded multiple choice quiz in the module itself), following the lab (a fill-in-the</w:t>
      </w:r>
      <w:r w:rsidR="00984DC7">
        <w:rPr>
          <w:szCs w:val="22"/>
        </w:rPr>
        <w:t>-</w:t>
      </w:r>
      <w:r w:rsidRPr="007D30AC">
        <w:rPr>
          <w:szCs w:val="22"/>
        </w:rPr>
        <w:t>blank graded quiz), and on the final exam.</w:t>
      </w:r>
      <w:r w:rsidR="00867315">
        <w:rPr>
          <w:szCs w:val="22"/>
        </w:rPr>
        <w:t xml:space="preserve"> </w:t>
      </w:r>
      <w:r w:rsidRPr="007D30AC">
        <w:rPr>
          <w:szCs w:val="22"/>
        </w:rPr>
        <w:t>The multiple choice format for the first admi</w:t>
      </w:r>
      <w:r w:rsidRPr="007D30AC">
        <w:rPr>
          <w:szCs w:val="22"/>
        </w:rPr>
        <w:t>n</w:t>
      </w:r>
      <w:r w:rsidRPr="007D30AC">
        <w:rPr>
          <w:szCs w:val="22"/>
        </w:rPr>
        <w:t>istration of the quiz was necessary to allow presentation and grading of the quiz within the mo</w:t>
      </w:r>
      <w:r w:rsidRPr="007D30AC">
        <w:rPr>
          <w:szCs w:val="22"/>
        </w:rPr>
        <w:t>d</w:t>
      </w:r>
      <w:r w:rsidRPr="007D30AC">
        <w:rPr>
          <w:szCs w:val="22"/>
        </w:rPr>
        <w:t xml:space="preserve">ule </w:t>
      </w:r>
      <w:r w:rsidR="00867315">
        <w:rPr>
          <w:szCs w:val="22"/>
        </w:rPr>
        <w:t xml:space="preserve">itself. </w:t>
      </w:r>
      <w:r w:rsidRPr="007D30AC">
        <w:rPr>
          <w:szCs w:val="22"/>
        </w:rPr>
        <w:t>However, the content was the sa</w:t>
      </w:r>
      <w:r w:rsidR="00867315">
        <w:rPr>
          <w:szCs w:val="22"/>
        </w:rPr>
        <w:t xml:space="preserve">me across the two instruments. </w:t>
      </w:r>
      <w:r w:rsidRPr="007D30AC">
        <w:rPr>
          <w:szCs w:val="22"/>
        </w:rPr>
        <w:t>Because of the exte</w:t>
      </w:r>
      <w:r w:rsidRPr="007D30AC">
        <w:rPr>
          <w:szCs w:val="22"/>
        </w:rPr>
        <w:t>n</w:t>
      </w:r>
      <w:r w:rsidRPr="007D30AC">
        <w:rPr>
          <w:szCs w:val="22"/>
        </w:rPr>
        <w:t>sive calculations involved, no</w:t>
      </w:r>
      <w:r w:rsidR="00867315">
        <w:rPr>
          <w:szCs w:val="22"/>
        </w:rPr>
        <w:t xml:space="preserve"> pre-test was given. </w:t>
      </w:r>
      <w:r w:rsidRPr="007D30AC">
        <w:rPr>
          <w:szCs w:val="22"/>
        </w:rPr>
        <w:t>It was believed that students would not be able to successfully answer the questions, resulting in guessing, or would become frustrated, with po</w:t>
      </w:r>
      <w:r w:rsidRPr="007D30AC">
        <w:rPr>
          <w:szCs w:val="22"/>
        </w:rPr>
        <w:t>s</w:t>
      </w:r>
      <w:r w:rsidRPr="007D30AC">
        <w:rPr>
          <w:szCs w:val="22"/>
        </w:rPr>
        <w:t>sible impact on their course attitudes. Thus, the proximal learning impact of the module cannot be definitively determined. In order to maintain consistent data collection points across the case studies, we estimated a baseline score based on the expectation that students could have been e</w:t>
      </w:r>
      <w:r w:rsidRPr="007D30AC">
        <w:rPr>
          <w:szCs w:val="22"/>
        </w:rPr>
        <w:t>x</w:t>
      </w:r>
      <w:r w:rsidRPr="007D30AC">
        <w:rPr>
          <w:szCs w:val="22"/>
        </w:rPr>
        <w:t>pected to score around 25% by chance as shown in Figure</w:t>
      </w:r>
      <w:r>
        <w:rPr>
          <w:szCs w:val="22"/>
        </w:rPr>
        <w:t xml:space="preserve"> 2.</w:t>
      </w:r>
    </w:p>
    <w:p w:rsidR="008955A4" w:rsidRDefault="008955A4" w:rsidP="008955A4">
      <w:pPr>
        <w:pStyle w:val="Heading2"/>
      </w:pPr>
      <w:r>
        <w:t>Results</w:t>
      </w:r>
    </w:p>
    <w:p w:rsidR="008955A4" w:rsidRDefault="008955A4" w:rsidP="00017F5A">
      <w:pPr>
        <w:rPr>
          <w:szCs w:val="22"/>
        </w:rPr>
      </w:pPr>
      <w:r w:rsidRPr="00D121E0">
        <w:t>A</w:t>
      </w:r>
      <w:r>
        <w:t xml:space="preserve"> one-way within </w:t>
      </w:r>
      <w:r w:rsidRPr="002B6E33">
        <w:rPr>
          <w:szCs w:val="22"/>
        </w:rPr>
        <w:t>subjects ANOV</w:t>
      </w:r>
      <w:r>
        <w:rPr>
          <w:szCs w:val="22"/>
        </w:rPr>
        <w:t>A was conducted, with time as</w:t>
      </w:r>
      <w:r w:rsidRPr="002B6E33">
        <w:rPr>
          <w:szCs w:val="22"/>
        </w:rPr>
        <w:t xml:space="preserve"> the within subject variable</w:t>
      </w:r>
      <w:r w:rsidR="00867315">
        <w:rPr>
          <w:szCs w:val="22"/>
        </w:rPr>
        <w:t xml:space="preserve">. </w:t>
      </w:r>
      <w:r w:rsidRPr="002B6E33">
        <w:rPr>
          <w:szCs w:val="22"/>
        </w:rPr>
        <w:t>R</w:t>
      </w:r>
      <w:r w:rsidRPr="002B6E33">
        <w:rPr>
          <w:szCs w:val="22"/>
        </w:rPr>
        <w:t>e</w:t>
      </w:r>
      <w:r w:rsidRPr="002B6E33">
        <w:rPr>
          <w:szCs w:val="22"/>
        </w:rPr>
        <w:t>sults showed a significant effect for time (Λ = .</w:t>
      </w:r>
      <w:r w:rsidR="00867315">
        <w:rPr>
          <w:szCs w:val="22"/>
        </w:rPr>
        <w:t xml:space="preserve">69, </w:t>
      </w:r>
      <w:proofErr w:type="gramStart"/>
      <w:r w:rsidR="00867315">
        <w:rPr>
          <w:szCs w:val="22"/>
        </w:rPr>
        <w:t>F(</w:t>
      </w:r>
      <w:proofErr w:type="gramEnd"/>
      <w:r w:rsidR="00867315">
        <w:rPr>
          <w:szCs w:val="22"/>
        </w:rPr>
        <w:t>2,39) = 8.98, p &lt; .001</w:t>
      </w:r>
      <w:r w:rsidR="00501ABF">
        <w:rPr>
          <w:szCs w:val="22"/>
        </w:rPr>
        <w:t>, partial η</w:t>
      </w:r>
      <w:r w:rsidR="00501ABF">
        <w:rPr>
          <w:szCs w:val="22"/>
          <w:vertAlign w:val="superscript"/>
        </w:rPr>
        <w:t xml:space="preserve">2 </w:t>
      </w:r>
      <w:r w:rsidR="00501ABF">
        <w:rPr>
          <w:szCs w:val="22"/>
        </w:rPr>
        <w:t xml:space="preserve"> = .32</w:t>
      </w:r>
      <w:r w:rsidR="00867315">
        <w:rPr>
          <w:szCs w:val="22"/>
        </w:rPr>
        <w:t xml:space="preserve">). </w:t>
      </w:r>
      <w:r w:rsidRPr="002B6E33">
        <w:rPr>
          <w:szCs w:val="22"/>
        </w:rPr>
        <w:t>This main effect was followed</w:t>
      </w:r>
      <w:r w:rsidR="00984DC7">
        <w:rPr>
          <w:szCs w:val="22"/>
        </w:rPr>
        <w:t xml:space="preserve"> </w:t>
      </w:r>
      <w:r w:rsidRPr="002B6E33">
        <w:rPr>
          <w:szCs w:val="22"/>
        </w:rPr>
        <w:t>up by pairwise dependent t-tests, showing a significant increase from post</w:t>
      </w:r>
      <w:r w:rsidR="00984DC7">
        <w:rPr>
          <w:szCs w:val="22"/>
        </w:rPr>
        <w:t>-</w:t>
      </w:r>
      <w:r w:rsidRPr="002B6E33">
        <w:rPr>
          <w:szCs w:val="22"/>
        </w:rPr>
        <w:t>viewing to post</w:t>
      </w:r>
      <w:r w:rsidR="00984DC7">
        <w:rPr>
          <w:szCs w:val="22"/>
        </w:rPr>
        <w:t>-</w:t>
      </w:r>
      <w:r w:rsidRPr="002B6E33">
        <w:rPr>
          <w:szCs w:val="22"/>
        </w:rPr>
        <w:t>lab (</w:t>
      </w:r>
      <w:proofErr w:type="gramStart"/>
      <w:r w:rsidRPr="002B6E33">
        <w:rPr>
          <w:szCs w:val="22"/>
        </w:rPr>
        <w:t>t(</w:t>
      </w:r>
      <w:proofErr w:type="gramEnd"/>
      <w:r w:rsidRPr="002B6E33">
        <w:rPr>
          <w:szCs w:val="22"/>
        </w:rPr>
        <w:t>42) = 4.39, p &lt; .0001</w:t>
      </w:r>
      <w:r w:rsidR="00501ABF">
        <w:rPr>
          <w:szCs w:val="22"/>
        </w:rPr>
        <w:t>, d = .68</w:t>
      </w:r>
      <w:r w:rsidRPr="002B6E33">
        <w:rPr>
          <w:szCs w:val="22"/>
        </w:rPr>
        <w:t>) and a nonsignificant increase from post-lab to post-final</w:t>
      </w:r>
      <w:r w:rsidR="00867315">
        <w:rPr>
          <w:szCs w:val="22"/>
        </w:rPr>
        <w:t xml:space="preserve"> exam (t(40) = .10, p = .92). </w:t>
      </w:r>
      <w:r w:rsidRPr="002B6E33">
        <w:rPr>
          <w:szCs w:val="22"/>
        </w:rPr>
        <w:t>Figure 2 shows the pattern of learning effects.</w:t>
      </w:r>
    </w:p>
    <w:p w:rsidR="008955A4" w:rsidRDefault="008955A4" w:rsidP="00981580">
      <w:pPr>
        <w:jc w:val="center"/>
        <w:rPr>
          <w:szCs w:val="22"/>
        </w:rPr>
      </w:pPr>
      <w:r w:rsidRPr="008955A4">
        <w:rPr>
          <w:noProof/>
          <w:szCs w:val="22"/>
        </w:rPr>
        <mc:AlternateContent>
          <mc:Choice Requires="wps">
            <w:drawing>
              <wp:inline distT="0" distB="0" distL="0" distR="0">
                <wp:extent cx="3813048" cy="2210348"/>
                <wp:effectExtent l="0" t="0" r="16510" b="1905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3048" cy="2210348"/>
                        </a:xfrm>
                        <a:prstGeom prst="rect">
                          <a:avLst/>
                        </a:prstGeom>
                        <a:solidFill>
                          <a:srgbClr val="FFFFFF"/>
                        </a:solidFill>
                        <a:ln w="9525">
                          <a:solidFill>
                            <a:srgbClr val="000000"/>
                          </a:solidFill>
                          <a:miter lim="800000"/>
                          <a:headEnd/>
                          <a:tailEnd/>
                        </a:ln>
                      </wps:spPr>
                      <wps:txbx>
                        <w:txbxContent>
                          <w:p w:rsidR="008955A4" w:rsidRDefault="008955A4">
                            <w:r>
                              <w:rPr>
                                <w:noProof/>
                              </w:rPr>
                              <w:drawing>
                                <wp:inline distT="0" distB="0" distL="0" distR="0" wp14:anchorId="6DFB178C" wp14:editId="54C353AA">
                                  <wp:extent cx="3600450" cy="2095500"/>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xbxContent>
                      </wps:txbx>
                      <wps:bodyPr rot="0" vert="horz" wrap="square" lIns="91440" tIns="45720" rIns="91440" bIns="45720" anchor="t" anchorCtr="0">
                        <a:noAutofit/>
                      </wps:bodyPr>
                    </wps:wsp>
                  </a:graphicData>
                </a:graphic>
              </wp:inline>
            </w:drawing>
          </mc:Choice>
          <mc:Fallback xmlns:w15="http://schemas.microsoft.com/office/word/2012/wordml">
            <w:pict>
              <v:shape id="_x0000_s1028" type="#_x0000_t202" style="width:300.25pt;height:17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">
                <v:textbox>
                  <w:txbxContent>
                    <w:p w:rsidR="008955A4" w:rsidRDefault="008955A4">
                      <w:r>
                        <w:rPr>
                          <w:noProof/>
                        </w:rPr>
                        <w:drawing>
                          <wp:inline distT="0" distB="0" distL="0" distR="0" wp14:anchorId="6DFB178C" wp14:editId="54C353AA">
                            <wp:extent cx="3600450" cy="2095500"/>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xbxContent>
                </v:textbox>
                <w10:anchorlock/>
              </v:shape>
            </w:pict>
          </mc:Fallback>
        </mc:AlternateContent>
      </w:r>
    </w:p>
    <w:p w:rsidR="00981580" w:rsidRPr="00017F5A" w:rsidRDefault="00981580" w:rsidP="00981580">
      <w:pPr>
        <w:jc w:val="center"/>
        <w:rPr>
          <w:b/>
        </w:rPr>
      </w:pPr>
      <w:r w:rsidRPr="00017F5A">
        <w:rPr>
          <w:b/>
        </w:rPr>
        <w:t xml:space="preserve">Figure 2. Learning impacts for LO module supplemented </w:t>
      </w:r>
      <w:r>
        <w:rPr>
          <w:b/>
        </w:rPr>
        <w:br/>
      </w:r>
      <w:r w:rsidRPr="00017F5A">
        <w:rPr>
          <w:b/>
        </w:rPr>
        <w:t>with lab-based practice in a single course (n = 50).</w:t>
      </w:r>
    </w:p>
    <w:p w:rsidR="00017F5A" w:rsidRDefault="00017F5A" w:rsidP="00017F5A">
      <w:pPr>
        <w:pStyle w:val="Heading2"/>
      </w:pPr>
      <w:r>
        <w:t>Discussion</w:t>
      </w:r>
    </w:p>
    <w:p w:rsidR="008955A4" w:rsidRDefault="00017F5A" w:rsidP="00017F5A">
      <w:pPr>
        <w:rPr>
          <w:szCs w:val="22"/>
        </w:rPr>
      </w:pPr>
      <w:r>
        <w:t xml:space="preserve">Given </w:t>
      </w:r>
      <w:r w:rsidRPr="002B6E33">
        <w:rPr>
          <w:szCs w:val="22"/>
        </w:rPr>
        <w:t>the projected baseline score of around 25%, the 70% average score following module viewing represents considerable learnin</w:t>
      </w:r>
      <w:r w:rsidR="00867315">
        <w:rPr>
          <w:szCs w:val="22"/>
        </w:rPr>
        <w:t xml:space="preserve">g. </w:t>
      </w:r>
      <w:r w:rsidRPr="002B6E33">
        <w:rPr>
          <w:szCs w:val="22"/>
        </w:rPr>
        <w:t>Of major interest, however, is the additional gain rea</w:t>
      </w:r>
      <w:r w:rsidRPr="002B6E33">
        <w:rPr>
          <w:szCs w:val="22"/>
        </w:rPr>
        <w:t>l</w:t>
      </w:r>
      <w:r w:rsidRPr="002B6E33">
        <w:rPr>
          <w:szCs w:val="22"/>
        </w:rPr>
        <w:t xml:space="preserve">ized through </w:t>
      </w:r>
      <w:r w:rsidR="00867315">
        <w:rPr>
          <w:szCs w:val="22"/>
        </w:rPr>
        <w:t xml:space="preserve">lab practice. </w:t>
      </w:r>
      <w:r w:rsidRPr="002B6E33">
        <w:rPr>
          <w:szCs w:val="22"/>
        </w:rPr>
        <w:t>Results suggest the value of LO module as introduction to material, but that full learning impacts may not be realized until students have time to practice and apply what they have learned. This practice effect may be most important for the type of learning material presented in this particular module, which focused on the use of formulas and calculations to solve problems as opposed to presentation of basic information or concepts. It is also possible that the practice components could be incorporated into the learning object package itself, reducing the need for follow-up lab practice and providing additional opportunities for active learni</w:t>
      </w:r>
      <w:r w:rsidR="00867315">
        <w:rPr>
          <w:szCs w:val="22"/>
        </w:rPr>
        <w:t xml:space="preserve">ng on </w:t>
      </w:r>
      <w:r w:rsidR="00867315">
        <w:rPr>
          <w:szCs w:val="22"/>
        </w:rPr>
        <w:lastRenderedPageBreak/>
        <w:t xml:space="preserve">the part of the learner. </w:t>
      </w:r>
      <w:r w:rsidRPr="002B6E33">
        <w:rPr>
          <w:szCs w:val="22"/>
        </w:rPr>
        <w:t>It is also important that, similar to results in case study 1, the learning rea</w:t>
      </w:r>
      <w:r w:rsidRPr="002B6E33">
        <w:rPr>
          <w:szCs w:val="22"/>
        </w:rPr>
        <w:t>l</w:t>
      </w:r>
      <w:r w:rsidRPr="002B6E33">
        <w:rPr>
          <w:szCs w:val="22"/>
        </w:rPr>
        <w:t>ized from the additional practice stabilized and was retained throughout the</w:t>
      </w:r>
      <w:r>
        <w:rPr>
          <w:szCs w:val="22"/>
        </w:rPr>
        <w:t xml:space="preserve"> semester.</w:t>
      </w:r>
    </w:p>
    <w:p w:rsidR="00017F5A" w:rsidRPr="00D121E0" w:rsidRDefault="00017F5A" w:rsidP="00017F5A">
      <w:pPr>
        <w:pStyle w:val="Heading1"/>
      </w:pPr>
      <w:r>
        <w:t xml:space="preserve">Case Study Three: Module as Reinforcement </w:t>
      </w:r>
      <w:r w:rsidR="00981580">
        <w:br/>
      </w:r>
      <w:r>
        <w:t>and Review</w:t>
      </w:r>
    </w:p>
    <w:p w:rsidR="00017F5A" w:rsidRDefault="00017F5A" w:rsidP="00017F5A">
      <w:pPr>
        <w:rPr>
          <w:szCs w:val="22"/>
        </w:rPr>
      </w:pPr>
      <w:r>
        <w:t xml:space="preserve">Case study 3 extended </w:t>
      </w:r>
      <w:r w:rsidRPr="002B6E33">
        <w:rPr>
          <w:szCs w:val="22"/>
        </w:rPr>
        <w:t xml:space="preserve">the research on the effectiveness of learning object modules by examining their use as both reinforcement for previously learned material </w:t>
      </w:r>
      <w:r w:rsidR="00867315">
        <w:rPr>
          <w:szCs w:val="22"/>
        </w:rPr>
        <w:t xml:space="preserve">and review for the final exam. </w:t>
      </w:r>
      <w:r w:rsidRPr="002B6E33">
        <w:rPr>
          <w:szCs w:val="22"/>
        </w:rPr>
        <w:t>The module was used in a 200 level (introductory undergraduate), crop production equipment class (n</w:t>
      </w:r>
      <w:r w:rsidR="00984DC7">
        <w:rPr>
          <w:szCs w:val="22"/>
        </w:rPr>
        <w:t xml:space="preserve"> </w:t>
      </w:r>
      <w:r w:rsidRPr="002B6E33">
        <w:rPr>
          <w:szCs w:val="22"/>
        </w:rPr>
        <w:t>=</w:t>
      </w:r>
      <w:r w:rsidR="00984DC7">
        <w:rPr>
          <w:szCs w:val="22"/>
        </w:rPr>
        <w:t xml:space="preserve"> </w:t>
      </w:r>
      <w:r w:rsidRPr="002B6E33">
        <w:rPr>
          <w:szCs w:val="22"/>
        </w:rPr>
        <w:t>42) with a mixture of sophomores (51%), juniors (21%), seniors (14%)</w:t>
      </w:r>
      <w:r w:rsidR="00984DC7">
        <w:rPr>
          <w:szCs w:val="22"/>
        </w:rPr>
        <w:t>,</w:t>
      </w:r>
      <w:r w:rsidRPr="002B6E33">
        <w:rPr>
          <w:szCs w:val="22"/>
        </w:rPr>
        <w:t xml:space="preserve"> and freshmen (2%). </w:t>
      </w:r>
      <w:r w:rsidR="00984DC7">
        <w:rPr>
          <w:szCs w:val="22"/>
        </w:rPr>
        <w:t>Seventy percent</w:t>
      </w:r>
      <w:r w:rsidRPr="002B6E33">
        <w:rPr>
          <w:szCs w:val="22"/>
        </w:rPr>
        <w:t xml:space="preserve"> were majoring in Agricultural Systems Management and 79% were taking the course as a requirement for their major. The majority (44%) reported the</w:t>
      </w:r>
      <w:r w:rsidR="00867315">
        <w:rPr>
          <w:szCs w:val="22"/>
        </w:rPr>
        <w:t xml:space="preserve">ir GPA as between 2.5 and 2.9. </w:t>
      </w:r>
      <w:r w:rsidRPr="002B6E33">
        <w:rPr>
          <w:szCs w:val="22"/>
        </w:rPr>
        <w:t>All students in this course were</w:t>
      </w:r>
      <w:r>
        <w:rPr>
          <w:szCs w:val="22"/>
        </w:rPr>
        <w:t xml:space="preserve"> male.</w:t>
      </w:r>
    </w:p>
    <w:p w:rsidR="00017F5A" w:rsidRDefault="00017F5A" w:rsidP="00017F5A">
      <w:pPr>
        <w:rPr>
          <w:szCs w:val="22"/>
        </w:rPr>
      </w:pPr>
      <w:r>
        <w:rPr>
          <w:szCs w:val="22"/>
        </w:rPr>
        <w:t xml:space="preserve">The module, </w:t>
      </w:r>
      <w:r w:rsidRPr="002B6E33">
        <w:rPr>
          <w:szCs w:val="22"/>
        </w:rPr>
        <w:t>which dealt with harvesting perennial grasses for bioenergy, contained content which an estimated 60–70% of the class had been exposed to in previous courses</w:t>
      </w:r>
      <w:r w:rsidR="00867315">
        <w:rPr>
          <w:szCs w:val="22"/>
        </w:rPr>
        <w:t xml:space="preserve">. </w:t>
      </w:r>
      <w:r w:rsidRPr="002B6E33">
        <w:rPr>
          <w:szCs w:val="22"/>
        </w:rPr>
        <w:t>The module was assigned as a replacement for two day</w:t>
      </w:r>
      <w:r w:rsidR="00867315">
        <w:rPr>
          <w:szCs w:val="22"/>
        </w:rPr>
        <w:t>s of lecture.</w:t>
      </w:r>
      <w:r w:rsidRPr="002B6E33">
        <w:rPr>
          <w:szCs w:val="22"/>
        </w:rPr>
        <w:t xml:space="preserve"> It was followed by a 15-item multiple choice</w:t>
      </w:r>
      <w:r w:rsidR="00867315">
        <w:rPr>
          <w:szCs w:val="22"/>
        </w:rPr>
        <w:t xml:space="preserve"> exam the following week. </w:t>
      </w:r>
      <w:r w:rsidRPr="002B6E33">
        <w:rPr>
          <w:szCs w:val="22"/>
        </w:rPr>
        <w:t>The graded post</w:t>
      </w:r>
      <w:r w:rsidR="00984DC7">
        <w:rPr>
          <w:szCs w:val="22"/>
        </w:rPr>
        <w:t>-</w:t>
      </w:r>
      <w:r w:rsidRPr="002B6E33">
        <w:rPr>
          <w:szCs w:val="22"/>
        </w:rPr>
        <w:t xml:space="preserve">exams </w:t>
      </w:r>
      <w:r w:rsidR="00867315">
        <w:rPr>
          <w:szCs w:val="22"/>
        </w:rPr>
        <w:t>were returned with no feedback.</w:t>
      </w:r>
      <w:r w:rsidRPr="002B6E33">
        <w:rPr>
          <w:szCs w:val="22"/>
        </w:rPr>
        <w:t xml:space="preserve"> The link to the module was also sent out prior to the final exam as a source of review.</w:t>
      </w:r>
      <w:r w:rsidR="00867315">
        <w:rPr>
          <w:szCs w:val="22"/>
        </w:rPr>
        <w:t xml:space="preserve"> </w:t>
      </w:r>
      <w:r w:rsidRPr="002B6E33">
        <w:rPr>
          <w:szCs w:val="22"/>
        </w:rPr>
        <w:t>The data colle</w:t>
      </w:r>
      <w:r w:rsidRPr="002B6E33">
        <w:rPr>
          <w:szCs w:val="22"/>
        </w:rPr>
        <w:t>c</w:t>
      </w:r>
      <w:r w:rsidRPr="002B6E33">
        <w:rPr>
          <w:szCs w:val="22"/>
        </w:rPr>
        <w:t xml:space="preserve">tion followed a similar pattern to previous studies: baseline, post-module, </w:t>
      </w:r>
      <w:r w:rsidR="00867315">
        <w:rPr>
          <w:szCs w:val="22"/>
        </w:rPr>
        <w:t xml:space="preserve">and as part of the final exam. </w:t>
      </w:r>
      <w:r w:rsidRPr="002B6E33">
        <w:rPr>
          <w:szCs w:val="22"/>
        </w:rPr>
        <w:t>As a result of student feedback, the module has since been split into two: 1) “Field Oper</w:t>
      </w:r>
      <w:r w:rsidRPr="002B6E33">
        <w:rPr>
          <w:szCs w:val="22"/>
        </w:rPr>
        <w:t>a</w:t>
      </w:r>
      <w:r w:rsidRPr="002B6E33">
        <w:rPr>
          <w:szCs w:val="22"/>
        </w:rPr>
        <w:t>tions for Harvesting Herbaceous Bioenergy Crops: Mowing and Cond</w:t>
      </w:r>
      <w:r w:rsidR="008E1858">
        <w:rPr>
          <w:szCs w:val="22"/>
        </w:rPr>
        <w:t xml:space="preserve">itioning” </w:t>
      </w:r>
      <w:r w:rsidRPr="002B6E33">
        <w:rPr>
          <w:szCs w:val="22"/>
        </w:rPr>
        <w:t>and 2) “Field O</w:t>
      </w:r>
      <w:r w:rsidRPr="002B6E33">
        <w:rPr>
          <w:szCs w:val="22"/>
        </w:rPr>
        <w:t>p</w:t>
      </w:r>
      <w:r w:rsidRPr="002B6E33">
        <w:rPr>
          <w:szCs w:val="22"/>
        </w:rPr>
        <w:t>erations for Harvest</w:t>
      </w:r>
      <w:r>
        <w:rPr>
          <w:szCs w:val="22"/>
        </w:rPr>
        <w:t>ing Herbaceous Bioenergy Crops:</w:t>
      </w:r>
      <w:r w:rsidRPr="002B6E33">
        <w:rPr>
          <w:szCs w:val="22"/>
        </w:rPr>
        <w:t xml:space="preserve"> Raking and Merging</w:t>
      </w:r>
      <w:r>
        <w:rPr>
          <w:szCs w:val="22"/>
        </w:rPr>
        <w:t xml:space="preserve">” </w:t>
      </w:r>
      <w:r w:rsidRPr="002B6E33">
        <w:rPr>
          <w:szCs w:val="22"/>
        </w:rPr>
        <w:t>(</w:t>
      </w:r>
      <w:hyperlink r:id="rId23" w:history="1">
        <w:r w:rsidR="00984DC7" w:rsidRPr="007E6AA4">
          <w:rPr>
            <w:rStyle w:val="Hyperlink"/>
            <w:szCs w:val="22"/>
          </w:rPr>
          <w:t>http://passel.unl.edu/communities/index.php?idinformationmodule=1130447261&amp;idcollectionmodule=1130274200</w:t>
        </w:r>
      </w:hyperlink>
      <w:r>
        <w:rPr>
          <w:szCs w:val="22"/>
        </w:rPr>
        <w:t>).</w:t>
      </w:r>
    </w:p>
    <w:p w:rsidR="00017F5A" w:rsidRDefault="00017F5A" w:rsidP="00017F5A">
      <w:pPr>
        <w:pStyle w:val="Heading2"/>
      </w:pPr>
      <w:r>
        <w:t>Results</w:t>
      </w:r>
    </w:p>
    <w:p w:rsidR="00017F5A" w:rsidRDefault="00017F5A" w:rsidP="00017F5A">
      <w:pPr>
        <w:rPr>
          <w:szCs w:val="22"/>
        </w:rPr>
      </w:pPr>
      <w:r w:rsidRPr="00D121E0">
        <w:t>A</w:t>
      </w:r>
      <w:r>
        <w:t xml:space="preserve"> one-way within </w:t>
      </w:r>
      <w:r w:rsidRPr="002B6E33">
        <w:rPr>
          <w:szCs w:val="22"/>
        </w:rPr>
        <w:t>subjects ANO</w:t>
      </w:r>
      <w:r>
        <w:rPr>
          <w:szCs w:val="22"/>
        </w:rPr>
        <w:t>VA was conducted, with time as</w:t>
      </w:r>
      <w:r w:rsidRPr="002B6E33">
        <w:rPr>
          <w:szCs w:val="22"/>
        </w:rPr>
        <w:t xml:space="preserve"> the within subject variable</w:t>
      </w:r>
      <w:r w:rsidR="00867315">
        <w:rPr>
          <w:szCs w:val="22"/>
        </w:rPr>
        <w:t xml:space="preserve">. </w:t>
      </w:r>
      <w:r w:rsidRPr="002B6E33">
        <w:rPr>
          <w:szCs w:val="22"/>
        </w:rPr>
        <w:t>R</w:t>
      </w:r>
      <w:r w:rsidRPr="002B6E33">
        <w:rPr>
          <w:szCs w:val="22"/>
        </w:rPr>
        <w:t>e</w:t>
      </w:r>
      <w:r w:rsidRPr="002B6E33">
        <w:rPr>
          <w:szCs w:val="22"/>
        </w:rPr>
        <w:t>sults showed a significant effect for time (Λ = .39</w:t>
      </w:r>
      <w:r w:rsidR="00867315">
        <w:rPr>
          <w:szCs w:val="22"/>
        </w:rPr>
        <w:t xml:space="preserve">, </w:t>
      </w:r>
      <w:proofErr w:type="gramStart"/>
      <w:r w:rsidR="00867315">
        <w:rPr>
          <w:szCs w:val="22"/>
        </w:rPr>
        <w:t>F(</w:t>
      </w:r>
      <w:proofErr w:type="gramEnd"/>
      <w:r w:rsidR="00867315">
        <w:rPr>
          <w:szCs w:val="22"/>
        </w:rPr>
        <w:t>2,35) = 26.98, p &lt; .0001</w:t>
      </w:r>
      <w:r w:rsidR="00501ABF">
        <w:rPr>
          <w:szCs w:val="22"/>
        </w:rPr>
        <w:t>, partial η</w:t>
      </w:r>
      <w:r w:rsidR="00501ABF">
        <w:rPr>
          <w:szCs w:val="22"/>
          <w:vertAlign w:val="superscript"/>
        </w:rPr>
        <w:t xml:space="preserve">2 </w:t>
      </w:r>
      <w:r w:rsidR="00501ABF">
        <w:rPr>
          <w:szCs w:val="22"/>
        </w:rPr>
        <w:t xml:space="preserve"> = .61</w:t>
      </w:r>
      <w:r w:rsidR="00867315">
        <w:rPr>
          <w:szCs w:val="22"/>
        </w:rPr>
        <w:t xml:space="preserve">). </w:t>
      </w:r>
      <w:r w:rsidRPr="002B6E33">
        <w:rPr>
          <w:szCs w:val="22"/>
        </w:rPr>
        <w:t>This main effect was followed</w:t>
      </w:r>
      <w:r w:rsidR="00984DC7">
        <w:rPr>
          <w:szCs w:val="22"/>
        </w:rPr>
        <w:t xml:space="preserve"> </w:t>
      </w:r>
      <w:r w:rsidRPr="002B6E33">
        <w:rPr>
          <w:szCs w:val="22"/>
        </w:rPr>
        <w:t>up by pairwise dependent t-tests, showing a significant increase from pre</w:t>
      </w:r>
      <w:r w:rsidR="00984DC7">
        <w:rPr>
          <w:szCs w:val="22"/>
        </w:rPr>
        <w:t>-</w:t>
      </w:r>
      <w:r w:rsidRPr="002B6E33">
        <w:rPr>
          <w:szCs w:val="22"/>
        </w:rPr>
        <w:t xml:space="preserve"> to post</w:t>
      </w:r>
      <w:r w:rsidR="00984DC7">
        <w:rPr>
          <w:szCs w:val="22"/>
        </w:rPr>
        <w:t>-</w:t>
      </w:r>
      <w:r w:rsidRPr="002B6E33">
        <w:rPr>
          <w:szCs w:val="22"/>
        </w:rPr>
        <w:t>LO (</w:t>
      </w:r>
      <w:proofErr w:type="gramStart"/>
      <w:r w:rsidRPr="002B6E33">
        <w:rPr>
          <w:szCs w:val="22"/>
        </w:rPr>
        <w:t>t(</w:t>
      </w:r>
      <w:proofErr w:type="gramEnd"/>
      <w:r w:rsidRPr="002B6E33">
        <w:rPr>
          <w:szCs w:val="22"/>
        </w:rPr>
        <w:t>36) = 3.73, p &lt; .001</w:t>
      </w:r>
      <w:r w:rsidR="00501ABF">
        <w:rPr>
          <w:szCs w:val="22"/>
        </w:rPr>
        <w:t>, d = .61</w:t>
      </w:r>
      <w:r w:rsidRPr="002B6E33">
        <w:rPr>
          <w:szCs w:val="22"/>
        </w:rPr>
        <w:t>), and a significant increase from post-LO to final exam (t(36) = 4.37, p &lt; .0001</w:t>
      </w:r>
      <w:r w:rsidR="00501ABF">
        <w:rPr>
          <w:szCs w:val="22"/>
        </w:rPr>
        <w:t>, d = .72</w:t>
      </w:r>
      <w:r w:rsidRPr="002B6E33">
        <w:rPr>
          <w:szCs w:val="22"/>
        </w:rPr>
        <w:t>).  Figure 3 shows the pattern of learning</w:t>
      </w:r>
      <w:r>
        <w:rPr>
          <w:szCs w:val="22"/>
        </w:rPr>
        <w:t xml:space="preserve"> effects.</w:t>
      </w:r>
    </w:p>
    <w:p w:rsidR="00017F5A" w:rsidRDefault="00017F5A" w:rsidP="00D65B65">
      <w:pPr>
        <w:jc w:val="center"/>
        <w:rPr>
          <w:szCs w:val="22"/>
        </w:rPr>
      </w:pPr>
      <w:r w:rsidRPr="00017F5A">
        <w:rPr>
          <w:noProof/>
          <w:szCs w:val="22"/>
        </w:rPr>
        <mc:AlternateContent>
          <mc:Choice Requires="wps">
            <w:drawing>
              <wp:inline distT="0" distB="0" distL="0" distR="0">
                <wp:extent cx="3785616" cy="1986682"/>
                <wp:effectExtent l="0" t="0" r="24765" b="13970"/>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5616" cy="1986682"/>
                        </a:xfrm>
                        <a:prstGeom prst="rect">
                          <a:avLst/>
                        </a:prstGeom>
                        <a:solidFill>
                          <a:srgbClr val="FFFFFF"/>
                        </a:solidFill>
                        <a:ln w="9525">
                          <a:solidFill>
                            <a:srgbClr val="000000"/>
                          </a:solidFill>
                          <a:miter lim="800000"/>
                          <a:headEnd/>
                          <a:tailEnd/>
                        </a:ln>
                      </wps:spPr>
                      <wps:txbx>
                        <w:txbxContent>
                          <w:p w:rsidR="00017F5A" w:rsidRDefault="00017F5A" w:rsidP="00017F5A">
                            <w:r>
                              <w:rPr>
                                <w:noProof/>
                              </w:rPr>
                              <w:drawing>
                                <wp:inline distT="0" distB="0" distL="0" distR="0" wp14:anchorId="4DB84EE5" wp14:editId="32B77E69">
                                  <wp:extent cx="3550920" cy="1828800"/>
                                  <wp:effectExtent l="0" t="0" r="1143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xbxContent>
                      </wps:txbx>
                      <wps:bodyPr rot="0" vert="horz" wrap="square" lIns="91440" tIns="45720" rIns="91440" bIns="45720" anchor="t" anchorCtr="0">
                        <a:noAutofit/>
                      </wps:bodyPr>
                    </wps:wsp>
                  </a:graphicData>
                </a:graphic>
              </wp:inline>
            </w:drawing>
          </mc:Choice>
          <mc:Fallback xmlns:w15="http://schemas.microsoft.com/office/word/2012/wordml">
            <w:pict>
              <v:shape id="_x0000_s1029" type="#_x0000_t202" style="width:298.1pt;height:15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">
                <v:textbox>
                  <w:txbxContent>
                    <w:p w:rsidR="00017F5A" w:rsidRDefault="00017F5A" w:rsidP="00017F5A">
                      <w:r>
                        <w:rPr>
                          <w:noProof/>
                        </w:rPr>
                        <w:drawing>
                          <wp:inline distT="0" distB="0" distL="0" distR="0" wp14:anchorId="4DB84EE5" wp14:editId="32B77E69">
                            <wp:extent cx="3550920" cy="1828800"/>
                            <wp:effectExtent l="0" t="0" r="1143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xbxContent>
                </v:textbox>
                <w10:anchorlock/>
              </v:shape>
            </w:pict>
          </mc:Fallback>
        </mc:AlternateContent>
      </w:r>
    </w:p>
    <w:p w:rsidR="00D65B65" w:rsidRPr="00017F5A" w:rsidRDefault="00D65B65" w:rsidP="00D65B65">
      <w:pPr>
        <w:jc w:val="center"/>
        <w:rPr>
          <w:b/>
        </w:rPr>
      </w:pPr>
      <w:r w:rsidRPr="00017F5A">
        <w:rPr>
          <w:b/>
        </w:rPr>
        <w:t>Figure 3. Learning impacts for LO module as reinforcement and review.</w:t>
      </w:r>
    </w:p>
    <w:p w:rsidR="00017F5A" w:rsidRDefault="00017F5A" w:rsidP="00017F5A">
      <w:pPr>
        <w:pStyle w:val="Heading2"/>
      </w:pPr>
      <w:r>
        <w:t>Discussion</w:t>
      </w:r>
    </w:p>
    <w:p w:rsidR="00017F5A" w:rsidRDefault="00017F5A" w:rsidP="00017F5A">
      <w:pPr>
        <w:rPr>
          <w:szCs w:val="22"/>
        </w:rPr>
      </w:pPr>
      <w:r>
        <w:t xml:space="preserve">In contrast </w:t>
      </w:r>
      <w:r w:rsidRPr="002B6E33">
        <w:rPr>
          <w:szCs w:val="22"/>
        </w:rPr>
        <w:t>to the pattern of results from the previous two studies, this study resulted in a linear trajectory, with no leve</w:t>
      </w:r>
      <w:r w:rsidR="00867315">
        <w:rPr>
          <w:szCs w:val="22"/>
        </w:rPr>
        <w:t xml:space="preserve">lling off of learning impacts. </w:t>
      </w:r>
      <w:r w:rsidRPr="002B6E33">
        <w:rPr>
          <w:szCs w:val="22"/>
        </w:rPr>
        <w:t xml:space="preserve">As with the previous studies, the module had </w:t>
      </w:r>
      <w:r w:rsidRPr="002B6E33">
        <w:rPr>
          <w:szCs w:val="22"/>
        </w:rPr>
        <w:lastRenderedPageBreak/>
        <w:t>significant learning impact, but that initial impact was accentuated by its use as review for que</w:t>
      </w:r>
      <w:r w:rsidRPr="002B6E33">
        <w:rPr>
          <w:szCs w:val="22"/>
        </w:rPr>
        <w:t>s</w:t>
      </w:r>
      <w:r w:rsidRPr="002B6E33">
        <w:rPr>
          <w:szCs w:val="22"/>
        </w:rPr>
        <w:t xml:space="preserve">tions on the final exam. This result could be attributed to a dosage effect because students </w:t>
      </w:r>
      <w:r w:rsidR="00867315">
        <w:rPr>
          <w:szCs w:val="22"/>
        </w:rPr>
        <w:t>viewed the module twice.</w:t>
      </w:r>
      <w:r w:rsidRPr="002B6E33">
        <w:rPr>
          <w:szCs w:val="22"/>
        </w:rPr>
        <w:t xml:space="preserve"> It is also possible that completing all course content allowed students to more effectively understand and integrate the specific module content when it was reviewed at the end of the</w:t>
      </w:r>
      <w:r>
        <w:rPr>
          <w:szCs w:val="22"/>
        </w:rPr>
        <w:t xml:space="preserve"> course.</w:t>
      </w:r>
    </w:p>
    <w:p w:rsidR="00017F5A" w:rsidRPr="00D121E0" w:rsidRDefault="00017F5A" w:rsidP="00017F5A">
      <w:pPr>
        <w:pStyle w:val="Heading1"/>
      </w:pPr>
      <w:r>
        <w:t>Overall Discussion</w:t>
      </w:r>
    </w:p>
    <w:p w:rsidR="00017F5A" w:rsidRDefault="00017F5A" w:rsidP="00017F5A">
      <w:pPr>
        <w:rPr>
          <w:szCs w:val="22"/>
        </w:rPr>
      </w:pPr>
      <w:r>
        <w:t xml:space="preserve">This paper </w:t>
      </w:r>
      <w:r w:rsidRPr="002B6E33">
        <w:rPr>
          <w:szCs w:val="22"/>
        </w:rPr>
        <w:t xml:space="preserve">provides insight into the effectiveness of LO modules used in different instructional contexts for on campus academic courses to meet diverse instructional goals. </w:t>
      </w:r>
      <w:r>
        <w:rPr>
          <w:szCs w:val="22"/>
        </w:rPr>
        <w:t>The three study ca</w:t>
      </w:r>
      <w:r>
        <w:rPr>
          <w:szCs w:val="22"/>
        </w:rPr>
        <w:t>s</w:t>
      </w:r>
      <w:r>
        <w:rPr>
          <w:szCs w:val="22"/>
        </w:rPr>
        <w:t>es (representing four separate courses) were deliberately selected to examin</w:t>
      </w:r>
      <w:r w:rsidR="00867315">
        <w:rPr>
          <w:szCs w:val="22"/>
        </w:rPr>
        <w:t>e different uses of LO modules:</w:t>
      </w:r>
      <w:r>
        <w:rPr>
          <w:szCs w:val="22"/>
        </w:rPr>
        <w:t xml:space="preserve"> a)</w:t>
      </w:r>
      <w:r w:rsidRPr="002B6E33">
        <w:rPr>
          <w:szCs w:val="22"/>
        </w:rPr>
        <w:t xml:space="preserve"> substitute for classroom lecture, </w:t>
      </w:r>
      <w:r>
        <w:rPr>
          <w:szCs w:val="22"/>
        </w:rPr>
        <w:t xml:space="preserve">b) </w:t>
      </w:r>
      <w:r w:rsidRPr="002B6E33">
        <w:rPr>
          <w:szCs w:val="22"/>
        </w:rPr>
        <w:t xml:space="preserve">remediation for course prerequisite material, </w:t>
      </w:r>
      <w:r>
        <w:rPr>
          <w:szCs w:val="22"/>
        </w:rPr>
        <w:t xml:space="preserve">c) </w:t>
      </w:r>
      <w:r w:rsidRPr="002B6E33">
        <w:rPr>
          <w:szCs w:val="22"/>
        </w:rPr>
        <w:t xml:space="preserve">introduction to content with follow-up lab practice, and </w:t>
      </w:r>
      <w:r>
        <w:rPr>
          <w:szCs w:val="22"/>
        </w:rPr>
        <w:t xml:space="preserve">d) </w:t>
      </w:r>
      <w:r w:rsidR="00867315">
        <w:rPr>
          <w:szCs w:val="22"/>
        </w:rPr>
        <w:t xml:space="preserve">review for final exams. </w:t>
      </w:r>
      <w:r w:rsidRPr="002B6E33">
        <w:rPr>
          <w:szCs w:val="22"/>
        </w:rPr>
        <w:t>In each of these cases</w:t>
      </w:r>
      <w:r w:rsidR="00984DC7">
        <w:rPr>
          <w:szCs w:val="22"/>
        </w:rPr>
        <w:t>,</w:t>
      </w:r>
      <w:r w:rsidRPr="002B6E33">
        <w:rPr>
          <w:szCs w:val="22"/>
        </w:rPr>
        <w:t xml:space="preserve"> the use of the module resulted in </w:t>
      </w:r>
      <w:r>
        <w:rPr>
          <w:szCs w:val="22"/>
        </w:rPr>
        <w:t xml:space="preserve">significant </w:t>
      </w:r>
      <w:r w:rsidRPr="002B6E33">
        <w:rPr>
          <w:szCs w:val="22"/>
        </w:rPr>
        <w:t>learning</w:t>
      </w:r>
      <w:r>
        <w:rPr>
          <w:szCs w:val="22"/>
        </w:rPr>
        <w:t xml:space="preserve"> increases.</w:t>
      </w:r>
    </w:p>
    <w:p w:rsidR="00017F5A" w:rsidRDefault="00017F5A" w:rsidP="00017F5A">
      <w:pPr>
        <w:rPr>
          <w:szCs w:val="22"/>
        </w:rPr>
      </w:pPr>
      <w:r>
        <w:t xml:space="preserve">All </w:t>
      </w:r>
      <w:r w:rsidRPr="002B6E33">
        <w:rPr>
          <w:szCs w:val="22"/>
        </w:rPr>
        <w:t>cases involved measures of proximal learning evidenced by scores on an assessment given immediately or within a few days after completing module, as well as distal learning as measured by course final exams. The first study showed the learning effectiveness of the module as mea</w:t>
      </w:r>
      <w:r w:rsidRPr="002B6E33">
        <w:rPr>
          <w:szCs w:val="22"/>
        </w:rPr>
        <w:t>s</w:t>
      </w:r>
      <w:r w:rsidRPr="002B6E33">
        <w:rPr>
          <w:szCs w:val="22"/>
        </w:rPr>
        <w:t>ured through comparisons between baseline scores and scores from the exam administered fo</w:t>
      </w:r>
      <w:r w:rsidRPr="002B6E33">
        <w:rPr>
          <w:szCs w:val="22"/>
        </w:rPr>
        <w:t>l</w:t>
      </w:r>
      <w:r w:rsidRPr="002B6E33">
        <w:rPr>
          <w:szCs w:val="22"/>
        </w:rPr>
        <w:t>lowing student usage of the module</w:t>
      </w:r>
      <w:r w:rsidR="00867315">
        <w:rPr>
          <w:szCs w:val="22"/>
        </w:rPr>
        <w:t xml:space="preserve">. </w:t>
      </w:r>
      <w:r w:rsidRPr="002B6E33">
        <w:rPr>
          <w:szCs w:val="22"/>
        </w:rPr>
        <w:t>This study also demonstrated learning retention as show</w:t>
      </w:r>
      <w:r w:rsidR="00867315">
        <w:rPr>
          <w:szCs w:val="22"/>
        </w:rPr>
        <w:t xml:space="preserve">n by scores on the final exam. </w:t>
      </w:r>
      <w:r w:rsidRPr="002B6E33">
        <w:rPr>
          <w:szCs w:val="22"/>
        </w:rPr>
        <w:t>In short, the learning did not decay but was retained th</w:t>
      </w:r>
      <w:r w:rsidR="00867315">
        <w:rPr>
          <w:szCs w:val="22"/>
        </w:rPr>
        <w:t xml:space="preserve">rough the end of the semester. </w:t>
      </w:r>
      <w:r w:rsidRPr="002B6E33">
        <w:rPr>
          <w:szCs w:val="22"/>
        </w:rPr>
        <w:t xml:space="preserve">The second and third studies suggest ways in how this initial learning impact of the module can be </w:t>
      </w:r>
      <w:r w:rsidR="00867315">
        <w:rPr>
          <w:szCs w:val="22"/>
        </w:rPr>
        <w:t xml:space="preserve">further extended. </w:t>
      </w:r>
      <w:r w:rsidRPr="002B6E33">
        <w:rPr>
          <w:szCs w:val="22"/>
        </w:rPr>
        <w:t>Follow-up reinforcement of the content through practice further increased learning, as did the opportunity to reuse the learning object module</w:t>
      </w:r>
      <w:r w:rsidR="00867315">
        <w:rPr>
          <w:szCs w:val="22"/>
        </w:rPr>
        <w:t xml:space="preserve"> as review for the final exam. </w:t>
      </w:r>
      <w:r w:rsidRPr="002B6E33">
        <w:rPr>
          <w:szCs w:val="22"/>
        </w:rPr>
        <w:t xml:space="preserve">It is also important that, similar to results in case study 1, </w:t>
      </w:r>
      <w:r w:rsidR="00984DC7">
        <w:rPr>
          <w:szCs w:val="22"/>
        </w:rPr>
        <w:t>case study 2</w:t>
      </w:r>
      <w:r w:rsidRPr="002B6E33">
        <w:rPr>
          <w:szCs w:val="22"/>
        </w:rPr>
        <w:t xml:space="preserve"> showed that the learning realized from additional practice stabilized and was retained throughout the</w:t>
      </w:r>
      <w:r>
        <w:rPr>
          <w:szCs w:val="22"/>
        </w:rPr>
        <w:t xml:space="preserve"> semester.</w:t>
      </w:r>
    </w:p>
    <w:p w:rsidR="000F36F8" w:rsidRDefault="00017F5A" w:rsidP="008F3137">
      <w:pPr>
        <w:rPr>
          <w:szCs w:val="22"/>
        </w:rPr>
      </w:pPr>
      <w:r>
        <w:t xml:space="preserve">All of the </w:t>
      </w:r>
      <w:r>
        <w:rPr>
          <w:szCs w:val="22"/>
        </w:rPr>
        <w:t>case studies described in this paper were in the curricular area of plant and soil science, limiting the generalization of study r</w:t>
      </w:r>
      <w:r w:rsidR="00867315">
        <w:rPr>
          <w:szCs w:val="22"/>
        </w:rPr>
        <w:t xml:space="preserve">esults to other subject areas. </w:t>
      </w:r>
      <w:r>
        <w:rPr>
          <w:szCs w:val="22"/>
        </w:rPr>
        <w:t xml:space="preserve">Nevertheless, results </w:t>
      </w:r>
      <w:r w:rsidRPr="002B6E33">
        <w:rPr>
          <w:szCs w:val="22"/>
        </w:rPr>
        <w:t xml:space="preserve">extend previous research on learning objects by documenting the more distal retention effect, which is </w:t>
      </w:r>
      <w:r w:rsidR="00867315">
        <w:rPr>
          <w:szCs w:val="22"/>
        </w:rPr>
        <w:t xml:space="preserve">an important educational goal. </w:t>
      </w:r>
      <w:r w:rsidRPr="002B6E33">
        <w:rPr>
          <w:szCs w:val="22"/>
        </w:rPr>
        <w:t>While we acknowledge that numerous factors promote retention, it is important that all four examples across the three case studies showed retention effects</w:t>
      </w:r>
      <w:r w:rsidR="00EC0972">
        <w:rPr>
          <w:szCs w:val="22"/>
        </w:rPr>
        <w:t xml:space="preserve">. </w:t>
      </w:r>
      <w:r w:rsidRPr="002B6E33">
        <w:rPr>
          <w:szCs w:val="22"/>
        </w:rPr>
        <w:t>This study also identified conditions under which learning can be further increased following initial viewing of LOs, including additi</w:t>
      </w:r>
      <w:r w:rsidR="00EC0972">
        <w:rPr>
          <w:szCs w:val="22"/>
        </w:rPr>
        <w:t>onal practice and review and re</w:t>
      </w:r>
      <w:r w:rsidRPr="002B6E33">
        <w:rPr>
          <w:szCs w:val="22"/>
        </w:rPr>
        <w:t>use of the L</w:t>
      </w:r>
      <w:r>
        <w:rPr>
          <w:szCs w:val="22"/>
        </w:rPr>
        <w:t>Os.</w:t>
      </w:r>
    </w:p>
    <w:p w:rsidR="003D08A1" w:rsidRDefault="003D08A1">
      <w:pPr>
        <w:pStyle w:val="Heading1"/>
      </w:pPr>
      <w:r>
        <w:t>References</w:t>
      </w:r>
    </w:p>
    <w:p w:rsidR="003D08A1" w:rsidRDefault="00B92251" w:rsidP="004406B7">
      <w:pPr>
        <w:pStyle w:val="RefJournal"/>
      </w:pPr>
      <w:r>
        <w:t xml:space="preserve">Churchill, D. (2007). Towards a useful classification of learning objects. </w:t>
      </w:r>
      <w:r w:rsidRPr="00B92251">
        <w:rPr>
          <w:i/>
        </w:rPr>
        <w:t>Education Technology Research and Development, 55</w:t>
      </w:r>
      <w:r>
        <w:t xml:space="preserve">, 479–497. </w:t>
      </w:r>
    </w:p>
    <w:p w:rsidR="00FD76A3" w:rsidRDefault="00B92251" w:rsidP="004406B7">
      <w:pPr>
        <w:pStyle w:val="RefJournal"/>
      </w:pPr>
      <w:r>
        <w:t xml:space="preserve">Guy, R. S., &amp; </w:t>
      </w:r>
      <w:proofErr w:type="spellStart"/>
      <w:r>
        <w:t>Lownes</w:t>
      </w:r>
      <w:proofErr w:type="spellEnd"/>
      <w:r>
        <w:t xml:space="preserve">-Jackson, M. (2012). Assessing the effectiveness of web-based tutorials using pre- and post-test measurements. </w:t>
      </w:r>
      <w:r w:rsidRPr="00B92251">
        <w:rPr>
          <w:i/>
        </w:rPr>
        <w:t>Interdisciplinary Journal of E-Learning and Learning Objects, 8</w:t>
      </w:r>
      <w:r>
        <w:t xml:space="preserve">, 15–38. </w:t>
      </w:r>
      <w:r w:rsidR="00FD76A3">
        <w:t xml:space="preserve">Retrieved from </w:t>
      </w:r>
      <w:hyperlink r:id="rId26" w:history="1">
        <w:r w:rsidR="00FD76A3" w:rsidRPr="008B4677">
          <w:rPr>
            <w:rStyle w:val="Hyperlink"/>
          </w:rPr>
          <w:t>http://www.informingscience.org/Publications/1631</w:t>
        </w:r>
      </w:hyperlink>
    </w:p>
    <w:p w:rsidR="00B92251" w:rsidRDefault="00B92251" w:rsidP="004406B7">
      <w:pPr>
        <w:pStyle w:val="RefJournal"/>
      </w:pPr>
      <w:r>
        <w:t xml:space="preserve">Freeman, S., Eddy, S. L., McDonough, M., Smith, M. K., </w:t>
      </w:r>
      <w:proofErr w:type="spellStart"/>
      <w:r>
        <w:t>Okoroafor</w:t>
      </w:r>
      <w:proofErr w:type="spellEnd"/>
      <w:r>
        <w:t xml:space="preserve">, N., </w:t>
      </w:r>
      <w:proofErr w:type="spellStart"/>
      <w:r>
        <w:t>Jordt</w:t>
      </w:r>
      <w:proofErr w:type="spellEnd"/>
      <w:r>
        <w:t>,</w:t>
      </w:r>
      <w:r w:rsidR="00551D0F">
        <w:t xml:space="preserve"> H., &amp; </w:t>
      </w:r>
      <w:proofErr w:type="spellStart"/>
      <w:r w:rsidR="00551D0F">
        <w:t>Wenderoth</w:t>
      </w:r>
      <w:proofErr w:type="spellEnd"/>
      <w:r w:rsidR="00551D0F">
        <w:t xml:space="preserve">, M. P. (2014). Active learning increases student performance in science, engineering, and mathematics. </w:t>
      </w:r>
      <w:r w:rsidR="00551D0F" w:rsidRPr="00551D0F">
        <w:rPr>
          <w:i/>
        </w:rPr>
        <w:t>Pr</w:t>
      </w:r>
      <w:r w:rsidR="00551D0F" w:rsidRPr="00551D0F">
        <w:rPr>
          <w:i/>
        </w:rPr>
        <w:t>o</w:t>
      </w:r>
      <w:r w:rsidR="00551D0F" w:rsidRPr="00551D0F">
        <w:rPr>
          <w:i/>
        </w:rPr>
        <w:t>ceedings of the National Academy of Sciences of the United States of America, 111</w:t>
      </w:r>
      <w:r w:rsidR="00551D0F">
        <w:t>, 8410–8415. doi:10.1073/pnas.1319030111</w:t>
      </w:r>
    </w:p>
    <w:p w:rsidR="00551D0F" w:rsidRDefault="00551D0F" w:rsidP="004406B7">
      <w:pPr>
        <w:pStyle w:val="RefJournal"/>
      </w:pPr>
      <w:r>
        <w:t xml:space="preserve">Kay, R. (2014). Exploring the use of web-based learning tools in secondary school classrooms. </w:t>
      </w:r>
      <w:r w:rsidRPr="00551D0F">
        <w:rPr>
          <w:i/>
        </w:rPr>
        <w:t>Interactive Learning Environments, 22</w:t>
      </w:r>
      <w:r>
        <w:t>, 67–83.</w:t>
      </w:r>
    </w:p>
    <w:p w:rsidR="00284898" w:rsidRDefault="00284898" w:rsidP="004406B7">
      <w:pPr>
        <w:pStyle w:val="RefJournal"/>
      </w:pPr>
      <w:r>
        <w:t xml:space="preserve">Moisey, S., &amp; Ally, M. (2007). Fulfilling the promise of learning objects. In M. Moore (Ed.), </w:t>
      </w:r>
      <w:proofErr w:type="gramStart"/>
      <w:r w:rsidRPr="00284898">
        <w:rPr>
          <w:i/>
        </w:rPr>
        <w:t>The</w:t>
      </w:r>
      <w:proofErr w:type="gramEnd"/>
      <w:r w:rsidRPr="00284898">
        <w:rPr>
          <w:i/>
        </w:rPr>
        <w:t xml:space="preserve"> handbook of distance education </w:t>
      </w:r>
      <w:r>
        <w:t>(pp. 323–337). Mahwah, NJ: Erlbaum.</w:t>
      </w:r>
    </w:p>
    <w:p w:rsidR="00FD76A3" w:rsidRDefault="004F5295" w:rsidP="004F5295">
      <w:pPr>
        <w:pStyle w:val="RefJournal"/>
      </w:pPr>
      <w:r>
        <w:lastRenderedPageBreak/>
        <w:t xml:space="preserve">Namuth, D., Fritz, S., King, J., &amp; Boren, A. (2005). Principles of sustainable learning object libraries. </w:t>
      </w:r>
      <w:r w:rsidRPr="00551D0F">
        <w:rPr>
          <w:i/>
        </w:rPr>
        <w:t>I</w:t>
      </w:r>
      <w:r w:rsidRPr="00551D0F">
        <w:rPr>
          <w:i/>
        </w:rPr>
        <w:t>n</w:t>
      </w:r>
      <w:r w:rsidRPr="00551D0F">
        <w:rPr>
          <w:i/>
        </w:rPr>
        <w:t>terdisciplinary Journal of Knowledge and Learning Objects, 1</w:t>
      </w:r>
      <w:r>
        <w:t>, 181–196.</w:t>
      </w:r>
      <w:r w:rsidR="00FD76A3">
        <w:t xml:space="preserve"> Retrieved from </w:t>
      </w:r>
      <w:hyperlink r:id="rId27" w:history="1">
        <w:r w:rsidR="00FD76A3" w:rsidRPr="008B4677">
          <w:rPr>
            <w:rStyle w:val="Hyperlink"/>
          </w:rPr>
          <w:t>http://www.informingscience.org/Publications/419</w:t>
        </w:r>
      </w:hyperlink>
    </w:p>
    <w:p w:rsidR="00284898" w:rsidRDefault="00284898" w:rsidP="004406B7">
      <w:pPr>
        <w:pStyle w:val="RefJournal"/>
      </w:pPr>
      <w:r>
        <w:t xml:space="preserve">Nugent, G., Kupzyk, K., Riley, S., Miller, L. D., Hostetler, J., Soh, L.-K., &amp; Samal, A. (2009, October). Empirical usage metadata in learning objects. In </w:t>
      </w:r>
      <w:r w:rsidRPr="00284898">
        <w:rPr>
          <w:i/>
        </w:rPr>
        <w:t>Proceedings of the 39th ASEE/IEEE Frontiers in E</w:t>
      </w:r>
      <w:r w:rsidRPr="00284898">
        <w:rPr>
          <w:i/>
        </w:rPr>
        <w:t>d</w:t>
      </w:r>
      <w:r w:rsidRPr="00284898">
        <w:rPr>
          <w:i/>
        </w:rPr>
        <w:t>ucation Conference</w:t>
      </w:r>
      <w:r>
        <w:t xml:space="preserve">, San Antonio, TX. Retrieved from </w:t>
      </w:r>
      <w:hyperlink r:id="rId28" w:history="1">
        <w:r w:rsidR="00EC0972" w:rsidRPr="007E6AA4">
          <w:rPr>
            <w:rStyle w:val="Hyperlink"/>
          </w:rPr>
          <w:t>http://fie-conference.org/fie2009/papers/1086.pdf</w:t>
        </w:r>
      </w:hyperlink>
      <w:r w:rsidR="00EC0972">
        <w:t xml:space="preserve"> </w:t>
      </w:r>
    </w:p>
    <w:p w:rsidR="00284898" w:rsidRDefault="00284898" w:rsidP="004406B7">
      <w:pPr>
        <w:pStyle w:val="RefJournal"/>
      </w:pPr>
      <w:r>
        <w:t xml:space="preserve">Nugent, G. C., Soh, L.-K., &amp; Samal, A. (2006). Development and validation of learning objects. </w:t>
      </w:r>
      <w:r w:rsidRPr="00284898">
        <w:rPr>
          <w:i/>
        </w:rPr>
        <w:t>Journal of Educational Technology Systems, 34</w:t>
      </w:r>
      <w:r>
        <w:t>, 271–281.</w:t>
      </w:r>
    </w:p>
    <w:p w:rsidR="00284898" w:rsidRDefault="00284898" w:rsidP="004406B7">
      <w:pPr>
        <w:pStyle w:val="RefJournal"/>
      </w:pPr>
      <w:r>
        <w:t xml:space="preserve">Tallmadge, W., &amp; </w:t>
      </w:r>
      <w:proofErr w:type="spellStart"/>
      <w:r>
        <w:t>Chitester</w:t>
      </w:r>
      <w:proofErr w:type="spellEnd"/>
      <w:r>
        <w:t xml:space="preserve">, B. (2010). Integrating concepts using online tutorials in a freshman chemistry course. </w:t>
      </w:r>
      <w:r w:rsidRPr="00284898">
        <w:rPr>
          <w:i/>
        </w:rPr>
        <w:t>Transformative Dialogues: Teaching and Learning Journal, 4</w:t>
      </w:r>
      <w:r>
        <w:t>, 1–7.</w:t>
      </w:r>
    </w:p>
    <w:p w:rsidR="00284898" w:rsidRDefault="00284898" w:rsidP="004406B7">
      <w:pPr>
        <w:pStyle w:val="RefJournal"/>
      </w:pPr>
      <w:proofErr w:type="spellStart"/>
      <w:r>
        <w:t>Windle</w:t>
      </w:r>
      <w:proofErr w:type="spellEnd"/>
      <w:r>
        <w:t xml:space="preserve">, R., McCormick, D., </w:t>
      </w:r>
      <w:proofErr w:type="spellStart"/>
      <w:r>
        <w:t>Dandrea</w:t>
      </w:r>
      <w:proofErr w:type="spellEnd"/>
      <w:r>
        <w:t xml:space="preserve">, J., &amp; </w:t>
      </w:r>
      <w:proofErr w:type="spellStart"/>
      <w:r>
        <w:t>Wharrad</w:t>
      </w:r>
      <w:proofErr w:type="spellEnd"/>
      <w:r>
        <w:t xml:space="preserve">, H. (2011). </w:t>
      </w:r>
      <w:r w:rsidR="000F36F8">
        <w:t xml:space="preserve">The characteristics of reusable learning objects that enhance learning: A case-study in health-science education. </w:t>
      </w:r>
      <w:r w:rsidR="000F36F8" w:rsidRPr="000F36F8">
        <w:rPr>
          <w:i/>
        </w:rPr>
        <w:t>British Journal of Educational Technology, 42</w:t>
      </w:r>
      <w:r w:rsidR="000F36F8">
        <w:t>, 811–823.</w:t>
      </w:r>
    </w:p>
    <w:p w:rsidR="00B05E82" w:rsidRDefault="00B05E82" w:rsidP="00FD76A3">
      <w:pPr>
        <w:pStyle w:val="Heading1"/>
      </w:pPr>
      <w:r>
        <w:t>Biographies</w:t>
      </w:r>
    </w:p>
    <w:p w:rsidR="00FD76A3" w:rsidRPr="008F3137" w:rsidRDefault="00FD76A3" w:rsidP="00FD76A3">
      <w:r w:rsidRPr="006B197C">
        <w:rPr>
          <w:noProof/>
        </w:rPr>
        <w:drawing>
          <wp:anchor distT="0" distB="0" distL="114300" distR="114300" simplePos="0" relativeHeight="251682304" behindDoc="0" locked="0" layoutInCell="1" allowOverlap="1" wp14:anchorId="4B69AEC6" wp14:editId="3062CA4E">
            <wp:simplePos x="0" y="0"/>
            <wp:positionH relativeFrom="column">
              <wp:align>left</wp:align>
            </wp:positionH>
            <wp:positionV relativeFrom="paragraph">
              <wp:posOffset>160020</wp:posOffset>
            </wp:positionV>
            <wp:extent cx="1371701" cy="1719072"/>
            <wp:effectExtent l="0" t="0" r="0" b="0"/>
            <wp:wrapSquare wrapText="bothSides"/>
            <wp:docPr id="13" name="Picture 13" descr="C:\gwen\Gwen Nug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gwen\Gwen Nugent.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71701" cy="17190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67315">
        <w:rPr>
          <w:b/>
        </w:rPr>
        <w:t>Dr. Gwen Nugent</w:t>
      </w:r>
      <w:r w:rsidRPr="002457FD">
        <w:t xml:space="preserve"> is Research Professor of the Center for Research on Children, Youth, Fam</w:t>
      </w:r>
      <w:r w:rsidRPr="002457FD">
        <w:t>i</w:t>
      </w:r>
      <w:r w:rsidRPr="002457FD">
        <w:t xml:space="preserve">lies, and Schools at the University of Nebraska-Lincoln.  Dr. Nugent coordinates development and research projects focusing on the impact of technology to improve student learning and teacher competencies, with special emphasis on multimedia instruction and on-line assessment. </w:t>
      </w:r>
      <w:r>
        <w:t xml:space="preserve"> </w:t>
      </w:r>
      <w:r w:rsidRPr="002457FD">
        <w:t>She has over 30 years</w:t>
      </w:r>
      <w:r>
        <w:t>’</w:t>
      </w:r>
      <w:r w:rsidRPr="002457FD">
        <w:t xml:space="preserve"> experience in the d</w:t>
      </w:r>
      <w:r w:rsidRPr="002457FD">
        <w:t>e</w:t>
      </w:r>
      <w:r w:rsidRPr="002457FD">
        <w:t>sign, production, and evaluation of mediated instru</w:t>
      </w:r>
      <w:r w:rsidRPr="002457FD">
        <w:t>c</w:t>
      </w:r>
      <w:r w:rsidRPr="002457FD">
        <w:t xml:space="preserve">tion, and has served as project manager for over 300 multimedia projects designed in a variety of subject areas and for a variety of audiences. </w:t>
      </w:r>
      <w:r>
        <w:t xml:space="preserve"> </w:t>
      </w:r>
      <w:r w:rsidRPr="002457FD">
        <w:t>The major</w:t>
      </w:r>
      <w:r w:rsidRPr="002457FD">
        <w:t>i</w:t>
      </w:r>
      <w:r w:rsidRPr="002457FD">
        <w:t>ty of these projects are distributed natio</w:t>
      </w:r>
      <w:r w:rsidRPr="002457FD">
        <w:t>n</w:t>
      </w:r>
      <w:r w:rsidRPr="002457FD">
        <w:t>ally and internationally, and many have won national awards for their educational impact and effe</w:t>
      </w:r>
      <w:r w:rsidRPr="002457FD">
        <w:t>c</w:t>
      </w:r>
      <w:r w:rsidRPr="002457FD">
        <w:t>tiveness.</w:t>
      </w:r>
    </w:p>
    <w:p w:rsidR="00B05E82" w:rsidRDefault="00B05E82" w:rsidP="00B05E82">
      <w:pPr>
        <w:ind w:left="360" w:hanging="360"/>
      </w:pPr>
    </w:p>
    <w:p w:rsidR="00FD76A3" w:rsidRDefault="00FD76A3" w:rsidP="00FD76A3">
      <w:r>
        <w:rPr>
          <w:noProof/>
        </w:rPr>
        <w:drawing>
          <wp:anchor distT="0" distB="0" distL="114300" distR="114300" simplePos="0" relativeHeight="251679232" behindDoc="0" locked="0" layoutInCell="1" allowOverlap="1" wp14:anchorId="033FB676" wp14:editId="3E477B2C">
            <wp:simplePos x="0" y="0"/>
            <wp:positionH relativeFrom="margin">
              <wp:align>left</wp:align>
            </wp:positionH>
            <wp:positionV relativeFrom="paragraph">
              <wp:posOffset>40640</wp:posOffset>
            </wp:positionV>
            <wp:extent cx="1371600" cy="1371600"/>
            <wp:effectExtent l="0" t="0" r="0" b="0"/>
            <wp:wrapSquare wrapText="bothSides"/>
            <wp:docPr id="14" name="Picture 14" descr="http://ati.osu.edu/sites/ati/files/styles/staff_image_medium/public/site-library/site-images/staff-images/kohmetscher_headshothighres2.jpg?itok=c8qabg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ti.osu.edu/sites/ati/files/styles/staff_image_medium/public/site-library/site-images/staff-images/kohmetscher_headshothighres2.jpg?itok=c8qabgR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7315">
        <w:rPr>
          <w:b/>
        </w:rPr>
        <w:t>Ms. Amy Kohmetscher</w:t>
      </w:r>
      <w:r w:rsidRPr="009942F5">
        <w:t xml:space="preserve"> is an Instructional Development Specialist at The Ohio State University</w:t>
      </w:r>
      <w:r>
        <w:t xml:space="preserve"> –</w:t>
      </w:r>
      <w:r w:rsidRPr="009942F5">
        <w:t xml:space="preserve"> Agricultural Technical Institute.  She co</w:t>
      </w:r>
      <w:r w:rsidRPr="009942F5">
        <w:t>l</w:t>
      </w:r>
      <w:r w:rsidRPr="009942F5">
        <w:t>laborates with faculty and IT specialists at OSU and nationally to d</w:t>
      </w:r>
      <w:r w:rsidRPr="009942F5">
        <w:t>e</w:t>
      </w:r>
      <w:r w:rsidRPr="009942F5">
        <w:t>velop instructional content for online delivery, designing instructional media to promote student and adult learning.  She assists with evalu</w:t>
      </w:r>
      <w:r w:rsidRPr="009942F5">
        <w:t>a</w:t>
      </w:r>
      <w:r w:rsidRPr="009942F5">
        <w:t>tion and assessment of learning o</w:t>
      </w:r>
      <w:r w:rsidRPr="009942F5">
        <w:t>b</w:t>
      </w:r>
      <w:r w:rsidRPr="009942F5">
        <w:t>jects created.</w:t>
      </w:r>
    </w:p>
    <w:p w:rsidR="00FD76A3" w:rsidRPr="00FD76A3" w:rsidRDefault="00FD76A3" w:rsidP="00FD76A3"/>
    <w:p w:rsidR="00D55BEB" w:rsidRPr="00FD76A3" w:rsidRDefault="00D55BEB" w:rsidP="00FD76A3"/>
    <w:p w:rsidR="00D55BEB" w:rsidRPr="00FD76A3" w:rsidRDefault="00D55BEB" w:rsidP="00FD76A3"/>
    <w:p w:rsidR="009E1E72" w:rsidRDefault="009E1E72">
      <w:pPr>
        <w:spacing w:after="0"/>
        <w:rPr>
          <w:b/>
        </w:rPr>
      </w:pPr>
      <w:r>
        <w:rPr>
          <w:b/>
        </w:rPr>
        <w:br w:type="page"/>
      </w:r>
    </w:p>
    <w:p w:rsidR="00FD76A3" w:rsidRDefault="00FD76A3" w:rsidP="00FD76A3">
      <w:r>
        <w:rPr>
          <w:noProof/>
        </w:rPr>
        <w:lastRenderedPageBreak/>
        <w:drawing>
          <wp:anchor distT="0" distB="0" distL="114300" distR="114300" simplePos="0" relativeHeight="251670016" behindDoc="0" locked="0" layoutInCell="1" allowOverlap="1" wp14:anchorId="2A0AABB9" wp14:editId="766A9379">
            <wp:simplePos x="0" y="0"/>
            <wp:positionH relativeFrom="margin">
              <wp:align>left</wp:align>
            </wp:positionH>
            <wp:positionV relativeFrom="paragraph">
              <wp:posOffset>69850</wp:posOffset>
            </wp:positionV>
            <wp:extent cx="1371600" cy="1728216"/>
            <wp:effectExtent l="0" t="0" r="0" b="5715"/>
            <wp:wrapSquare wrapText="bothSides"/>
            <wp:docPr id="16" name="Picture 16" descr="C:\Users\Dr. D's\Pictures\Logitech Webcam\Picture 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r. D's\Pictures\Logitech Webcam\Picture 24.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a:stretch/>
                  </pic:blipFill>
                  <pic:spPr bwMode="auto">
                    <a:xfrm>
                      <a:off x="0" y="0"/>
                      <a:ext cx="1371600" cy="172821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67315">
        <w:rPr>
          <w:b/>
        </w:rPr>
        <w:t>Dr. Deana Namuth-Covert</w:t>
      </w:r>
      <w:r w:rsidRPr="00197D1B">
        <w:t xml:space="preserve"> is currently a Professor and Director of Online Education and Outreach at The Ohio State University – A</w:t>
      </w:r>
      <w:r>
        <w:t>gr</w:t>
      </w:r>
      <w:r>
        <w:t>i</w:t>
      </w:r>
      <w:r>
        <w:t>cultural Technical Institute</w:t>
      </w:r>
      <w:r w:rsidRPr="00197D1B">
        <w:t xml:space="preserve"> and College of Food, Agricultural and E</w:t>
      </w:r>
      <w:r w:rsidRPr="00197D1B">
        <w:t>n</w:t>
      </w:r>
      <w:r w:rsidRPr="00197D1B">
        <w:t>vironmental Sciences.  She has 16 years of experience leading online STEM programs, some federally funded.  She also teaches plant sc</w:t>
      </w:r>
      <w:r w:rsidRPr="00197D1B">
        <w:t>i</w:t>
      </w:r>
      <w:r w:rsidRPr="00197D1B">
        <w:t>ence classes/trainings, has advised online students a</w:t>
      </w:r>
      <w:r>
        <w:t xml:space="preserve">nd researches best practices.  </w:t>
      </w:r>
      <w:r w:rsidRPr="00197D1B">
        <w:t>Her responsibilities include working closely with OSU fa</w:t>
      </w:r>
      <w:r w:rsidRPr="00197D1B">
        <w:t>c</w:t>
      </w:r>
      <w:r w:rsidRPr="00197D1B">
        <w:t>ulty and staff to provide organizational direction in the prioritization, development and maintenance of course modules which serve both academic students and extension clientele.  Her work also involves the creation, use and evaluation of learning object repositories.</w:t>
      </w:r>
    </w:p>
    <w:p w:rsidR="009E1E72" w:rsidRPr="00197D1B" w:rsidRDefault="009E1E72" w:rsidP="009E1E72">
      <w:pPr>
        <w:spacing w:after="0"/>
      </w:pPr>
    </w:p>
    <w:p w:rsidR="00B05E82" w:rsidRDefault="00FD76A3" w:rsidP="00FD76A3">
      <w:r w:rsidRPr="001E4A87">
        <w:rPr>
          <w:noProof/>
        </w:rPr>
        <w:drawing>
          <wp:anchor distT="0" distB="0" distL="114300" distR="114300" simplePos="0" relativeHeight="251683328" behindDoc="0" locked="0" layoutInCell="1" allowOverlap="1" wp14:anchorId="166F7F3E" wp14:editId="4E7135FB">
            <wp:simplePos x="0" y="0"/>
            <wp:positionH relativeFrom="column">
              <wp:align>left</wp:align>
            </wp:positionH>
            <wp:positionV relativeFrom="paragraph">
              <wp:posOffset>54610</wp:posOffset>
            </wp:positionV>
            <wp:extent cx="1371600" cy="1783080"/>
            <wp:effectExtent l="0" t="0" r="0" b="7620"/>
            <wp:wrapSquare wrapText="bothSides"/>
            <wp:docPr id="17" name="Picture 17" descr="C:\CYFS grants\biodiversity\presentations\LO journal article\pictures\John Guretz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YFS grants\biodiversity\presentations\LO journal article\pictures\John Guretzky.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8714"/>
                    <a:stretch/>
                  </pic:blipFill>
                  <pic:spPr bwMode="auto">
                    <a:xfrm>
                      <a:off x="0" y="0"/>
                      <a:ext cx="1371600" cy="17830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67315">
        <w:rPr>
          <w:b/>
        </w:rPr>
        <w:t>Dr. John Guretzky</w:t>
      </w:r>
      <w:r w:rsidRPr="003F3FC6">
        <w:t xml:space="preserve"> is an Associate Professor and Grassland Systems Ecologist in the Dept. of Agronomy and Horticulture at the Universit</w:t>
      </w:r>
      <w:r w:rsidR="003406BE">
        <w:t xml:space="preserve">y of Nebraska-Lincoln (UNL). </w:t>
      </w:r>
      <w:r w:rsidRPr="003F3FC6">
        <w:t>His research focuses on impacts of fire, grazing, and seeding on range and pastureland plant communities.  He teaches courses in Forage Crop and Pasture Management and Forage Evaluation.  His goal is to improve student understanding about the role of forages and grasslands in sustainable agriculture.  Before joi</w:t>
      </w:r>
      <w:r w:rsidRPr="003F3FC6">
        <w:t>n</w:t>
      </w:r>
      <w:r w:rsidRPr="003F3FC6">
        <w:t>ing UNL, John served as a Research Agronomist at the Samuel Roberts Noble Foundation in Ardmore, OK, from 2006 to 2009 and Postdo</w:t>
      </w:r>
      <w:r w:rsidRPr="003F3FC6">
        <w:t>c</w:t>
      </w:r>
      <w:r w:rsidRPr="003F3FC6">
        <w:t>toral Assistant with the U.S. Army Corps of Eng</w:t>
      </w:r>
      <w:r w:rsidRPr="003F3FC6">
        <w:t>i</w:t>
      </w:r>
      <w:r w:rsidRPr="003F3FC6">
        <w:t>neers Construction Engineering Research Laboratory in Champaign, IL from 2003 to 2006.</w:t>
      </w:r>
    </w:p>
    <w:p w:rsidR="00B05E82" w:rsidRDefault="00B05E82" w:rsidP="009E1E72">
      <w:pPr>
        <w:spacing w:after="0"/>
      </w:pPr>
    </w:p>
    <w:p w:rsidR="00D55BEB" w:rsidRDefault="00FD76A3" w:rsidP="00FD76A3">
      <w:r w:rsidRPr="00444988">
        <w:rPr>
          <w:noProof/>
          <w:sz w:val="24"/>
        </w:rPr>
        <w:drawing>
          <wp:anchor distT="0" distB="0" distL="114300" distR="114300" simplePos="0" relativeHeight="251684352" behindDoc="0" locked="0" layoutInCell="1" allowOverlap="1" wp14:anchorId="41D80C62" wp14:editId="185FF601">
            <wp:simplePos x="0" y="0"/>
            <wp:positionH relativeFrom="column">
              <wp:align>left</wp:align>
            </wp:positionH>
            <wp:positionV relativeFrom="paragraph">
              <wp:posOffset>35560</wp:posOffset>
            </wp:positionV>
            <wp:extent cx="1371701" cy="1719072"/>
            <wp:effectExtent l="0" t="0" r="0" b="0"/>
            <wp:wrapSquare wrapText="bothSides"/>
            <wp:docPr id="12" name="Picture 12" descr="C:\Users\mmckinty2\AppData\Local\Microsoft\Windows\Temporary Internet Files\Content.Outlook\YD2B2K9J\P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mckinty2\AppData\Local\Microsoft\Windows\Temporary Internet Files\Content.Outlook\YD2B2K9J\PTM.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1068" r="16182" b="1110"/>
                    <a:stretch/>
                  </pic:blipFill>
                  <pic:spPr bwMode="auto">
                    <a:xfrm>
                      <a:off x="0" y="0"/>
                      <a:ext cx="1371701" cy="171907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67315">
        <w:rPr>
          <w:b/>
        </w:rPr>
        <w:t>Dr. Patrick Murphy</w:t>
      </w:r>
      <w:r w:rsidRPr="003F3FC6">
        <w:t xml:space="preserve"> is currently the Education Co-Director for </w:t>
      </w:r>
      <w:proofErr w:type="spellStart"/>
      <w:r w:rsidRPr="003F3FC6">
        <w:t>C</w:t>
      </w:r>
      <w:r w:rsidRPr="003F3FC6">
        <w:t>e</w:t>
      </w:r>
      <w:r w:rsidRPr="003F3FC6">
        <w:t>nusa</w:t>
      </w:r>
      <w:proofErr w:type="spellEnd"/>
      <w:r w:rsidRPr="003F3FC6">
        <w:t xml:space="preserve"> Bioenergy in the </w:t>
      </w:r>
      <w:proofErr w:type="spellStart"/>
      <w:r w:rsidRPr="003F3FC6">
        <w:t>Bio</w:t>
      </w:r>
      <w:r w:rsidRPr="003F3FC6">
        <w:t>e</w:t>
      </w:r>
      <w:r w:rsidRPr="003F3FC6">
        <w:t>conomy</w:t>
      </w:r>
      <w:proofErr w:type="spellEnd"/>
      <w:r w:rsidRPr="003F3FC6">
        <w:t xml:space="preserve"> Institute at Iowa State University.</w:t>
      </w:r>
      <w:r>
        <w:t xml:space="preserve"> </w:t>
      </w:r>
      <w:r w:rsidRPr="003F3FC6">
        <w:t xml:space="preserve">His responsibilities include overall direction of </w:t>
      </w:r>
      <w:proofErr w:type="spellStart"/>
      <w:r w:rsidRPr="003F3FC6">
        <w:t>Cenusa</w:t>
      </w:r>
      <w:proofErr w:type="spellEnd"/>
      <w:r w:rsidRPr="003F3FC6">
        <w:t xml:space="preserve"> university ed</w:t>
      </w:r>
      <w:r w:rsidRPr="003F3FC6">
        <w:t>u</w:t>
      </w:r>
      <w:r w:rsidRPr="003F3FC6">
        <w:t>cation program which includes an online bioenergy curriculum, su</w:t>
      </w:r>
      <w:r w:rsidRPr="003F3FC6">
        <w:t>m</w:t>
      </w:r>
      <w:r w:rsidRPr="003F3FC6">
        <w:t>mer unde</w:t>
      </w:r>
      <w:r w:rsidRPr="003F3FC6">
        <w:t>r</w:t>
      </w:r>
      <w:r w:rsidRPr="003F3FC6">
        <w:t>graduate internship program and graduate student webinar series and preparation of technical content for the bioenergy curric</w:t>
      </w:r>
      <w:r w:rsidRPr="003F3FC6">
        <w:t>u</w:t>
      </w:r>
      <w:r w:rsidRPr="003F3FC6">
        <w:t>lum. In addition to his role at Iowa State University, he operates a r</w:t>
      </w:r>
      <w:r w:rsidRPr="003F3FC6">
        <w:t>e</w:t>
      </w:r>
      <w:r w:rsidRPr="003F3FC6">
        <w:t>search and engineering consulting firm serving the grain, feed and bi</w:t>
      </w:r>
      <w:r w:rsidRPr="003F3FC6">
        <w:t>o</w:t>
      </w:r>
      <w:r w:rsidRPr="003F3FC6">
        <w:t xml:space="preserve">processing industries. He holds a doctorate in Agricultural Engineering and </w:t>
      </w:r>
      <w:proofErr w:type="spellStart"/>
      <w:r w:rsidRPr="003F3FC6">
        <w:t>Biorenewables</w:t>
      </w:r>
      <w:proofErr w:type="spellEnd"/>
      <w:r w:rsidRPr="003F3FC6">
        <w:t xml:space="preserve"> Resources and Technology from Iowa State Un</w:t>
      </w:r>
      <w:r w:rsidRPr="003F3FC6">
        <w:t>i</w:t>
      </w:r>
      <w:r w:rsidRPr="003F3FC6">
        <w:t>versity.</w:t>
      </w:r>
    </w:p>
    <w:p w:rsidR="00D55BEB" w:rsidRDefault="00D55BEB" w:rsidP="009E1E72">
      <w:pPr>
        <w:spacing w:after="0"/>
      </w:pPr>
    </w:p>
    <w:p w:rsidR="00D1570F" w:rsidRPr="00D1570F" w:rsidRDefault="009E1E72" w:rsidP="0044631F">
      <w:r w:rsidRPr="006B197C">
        <w:rPr>
          <w:noProof/>
        </w:rPr>
        <w:drawing>
          <wp:anchor distT="0" distB="0" distL="114300" distR="114300" simplePos="0" relativeHeight="251685376" behindDoc="0" locked="0" layoutInCell="1" allowOverlap="1" wp14:anchorId="503EA45D" wp14:editId="0E3465CB">
            <wp:simplePos x="0" y="0"/>
            <wp:positionH relativeFrom="column">
              <wp:align>left</wp:align>
            </wp:positionH>
            <wp:positionV relativeFrom="paragraph">
              <wp:posOffset>83820</wp:posOffset>
            </wp:positionV>
            <wp:extent cx="1371699" cy="1764792"/>
            <wp:effectExtent l="0" t="0" r="0" b="6985"/>
            <wp:wrapSquare wrapText="bothSides"/>
            <wp:docPr id="19" name="Picture 19" descr="C:\CYFS grants\biodiversity\presentations\LO journal article\pictures\leed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CYFS grants\biodiversity\presentations\LO journal article\pictures\leedk.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71699" cy="17647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67315">
        <w:rPr>
          <w:b/>
        </w:rPr>
        <w:t>Dr. DoKyoung “D.K.” Lee</w:t>
      </w:r>
      <w:r w:rsidRPr="002457FD">
        <w:t xml:space="preserve"> is an Associate Professor of Biomass and Bioenergy Crop Production and Extension Agronomist in the Depar</w:t>
      </w:r>
      <w:r w:rsidRPr="002457FD">
        <w:t>t</w:t>
      </w:r>
      <w:r w:rsidRPr="002457FD">
        <w:t>ment of Crop Sciences at the University of Illinois. He is a production agronomist with the broad range of research and educational bac</w:t>
      </w:r>
      <w:r w:rsidRPr="002457FD">
        <w:t>k</w:t>
      </w:r>
      <w:r w:rsidRPr="002457FD">
        <w:t>ground in the area of crop production, perennial grasses, soil science, and international agriculture and e</w:t>
      </w:r>
      <w:r w:rsidRPr="002457FD">
        <w:t>x</w:t>
      </w:r>
      <w:r w:rsidRPr="002457FD">
        <w:t>pertise in dedicated energy crop production</w:t>
      </w:r>
      <w:r>
        <w:t xml:space="preserve">. </w:t>
      </w:r>
      <w:r w:rsidRPr="002457FD">
        <w:t>Currently, he is serving as the primary investigator of se</w:t>
      </w:r>
      <w:r w:rsidRPr="002457FD">
        <w:t>v</w:t>
      </w:r>
      <w:r w:rsidRPr="002457FD">
        <w:t>eral biomass feedstock researches including CRP Management for Su</w:t>
      </w:r>
      <w:r w:rsidRPr="002457FD">
        <w:t>s</w:t>
      </w:r>
      <w:r w:rsidRPr="002457FD">
        <w:t>tainable Biomass Fee</w:t>
      </w:r>
      <w:r w:rsidRPr="002457FD">
        <w:t>d</w:t>
      </w:r>
      <w:r w:rsidRPr="002457FD">
        <w:t>stock Production as a part of the U.S.DOE &amp; Sun Grant Regional Feedstock Partnership and Su</w:t>
      </w:r>
      <w:r w:rsidRPr="002457FD">
        <w:t>s</w:t>
      </w:r>
      <w:r w:rsidRPr="002457FD">
        <w:t>tainable Biomass Feedstock Production-Dedicated Energy Crops funded by USDA, N</w:t>
      </w:r>
      <w:r w:rsidRPr="002457FD">
        <w:t>I</w:t>
      </w:r>
      <w:r w:rsidRPr="002457FD">
        <w:t>FA.</w:t>
      </w:r>
    </w:p>
    <w:sectPr w:rsidR="00D1570F" w:rsidRPr="00D1570F" w:rsidSect="00493ADC">
      <w:headerReference w:type="even" r:id="rId35"/>
      <w:headerReference w:type="default" r:id="rId36"/>
      <w:footerReference w:type="even" r:id="rId37"/>
      <w:footerReference w:type="default" r:id="rId38"/>
      <w:headerReference w:type="first" r:id="rId39"/>
      <w:footerReference w:type="first" r:id="rId40"/>
      <w:pgSz w:w="12240" w:h="15840" w:code="1"/>
      <w:pgMar w:top="1440" w:right="1440" w:bottom="1440" w:left="2160" w:header="720" w:footer="720" w:gutter="0"/>
      <w:pgNumType w:start="113"/>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4AB" w:rsidRDefault="000C64AB">
      <w:r>
        <w:separator/>
      </w:r>
    </w:p>
  </w:endnote>
  <w:endnote w:type="continuationSeparator" w:id="0">
    <w:p w:rsidR="000C64AB" w:rsidRDefault="000C6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058" w:rsidRDefault="00677058" w:rsidP="00582291">
    <w:pPr>
      <w:pStyle w:val="Footer"/>
    </w:pPr>
    <w:r>
      <w:rPr>
        <w:rStyle w:val="PageNumber"/>
      </w:rPr>
      <w:fldChar w:fldCharType="begin"/>
    </w:r>
    <w:r>
      <w:rPr>
        <w:rStyle w:val="PageNumber"/>
      </w:rPr>
      <w:instrText xml:space="preserve"> PAGE </w:instrText>
    </w:r>
    <w:r>
      <w:rPr>
        <w:rStyle w:val="PageNumber"/>
      </w:rPr>
      <w:fldChar w:fldCharType="separate"/>
    </w:r>
    <w:r w:rsidR="00213FC5">
      <w:rPr>
        <w:rStyle w:val="PageNumber"/>
        <w:noProof/>
      </w:rPr>
      <w:t>114</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058" w:rsidRDefault="00677058"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213FC5">
      <w:rPr>
        <w:rStyle w:val="PageNumber"/>
        <w:noProof/>
      </w:rPr>
      <w:t>121</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058" w:rsidRPr="00950C92" w:rsidRDefault="004406B7" w:rsidP="00950C92">
    <w:pPr>
      <w:pStyle w:val="FooterJNL"/>
      <w:rPr>
        <w:b w:val="0"/>
        <w:bCs w:val="0"/>
        <w:sz w:val="18"/>
        <w:szCs w:val="18"/>
      </w:rPr>
    </w:pPr>
    <w:r>
      <w:t>Editor: Gila Kurtz</w:t>
    </w:r>
    <w:r w:rsidR="00950C92">
      <w:br/>
    </w:r>
    <w:r w:rsidRPr="00950C92">
      <w:rPr>
        <w:b w:val="0"/>
        <w:sz w:val="18"/>
        <w:szCs w:val="18"/>
      </w:rPr>
      <w:t>Submitted: December 30, 2015; Revised: April 19, May 19, 2016; Accepted: May 21,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4AB" w:rsidRDefault="000C64AB">
      <w:r>
        <w:separator/>
      </w:r>
    </w:p>
  </w:footnote>
  <w:footnote w:type="continuationSeparator" w:id="0">
    <w:p w:rsidR="000C64AB" w:rsidRDefault="000C64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FBF" w:rsidRDefault="00906FBF" w:rsidP="00582291">
    <w:pPr>
      <w:pStyle w:val="Header"/>
    </w:pPr>
    <w:r>
      <w:t>Learning from Online Modules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058" w:rsidRDefault="00677058" w:rsidP="00582291">
    <w:pPr>
      <w:pStyle w:val="Header"/>
    </w:pPr>
    <w:r>
      <w:tab/>
    </w:r>
    <w:r w:rsidR="000F36F8">
      <w:t>Nugent</w:t>
    </w:r>
    <w:r w:rsidR="00A1474B">
      <w:t xml:space="preserve"> et al.</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D3E" w:rsidRDefault="004C0D3E" w:rsidP="004C0D3E">
    <w:pPr>
      <w:pStyle w:val="Header"/>
      <w:tabs>
        <w:tab w:val="center" w:pos="4320"/>
      </w:tabs>
      <w:rPr>
        <w:b/>
        <w:bCs/>
        <w:szCs w:val="20"/>
      </w:rPr>
    </w:pPr>
    <w:r>
      <w:rPr>
        <w:b/>
        <w:bCs/>
        <w:szCs w:val="20"/>
      </w:rPr>
      <w:t>Interdisciplinary Journal of e-Skills and Lifelong Learning</w:t>
    </w:r>
    <w:r>
      <w:rPr>
        <w:b/>
        <w:bCs/>
        <w:szCs w:val="20"/>
      </w:rPr>
      <w:tab/>
      <w:t>Volume 12, 2016</w:t>
    </w:r>
  </w:p>
  <w:p w:rsidR="004C0D3E" w:rsidRPr="00213FC5" w:rsidRDefault="004C0D3E" w:rsidP="004C0D3E">
    <w:pPr>
      <w:rPr>
        <w:sz w:val="18"/>
        <w:szCs w:val="18"/>
      </w:rPr>
    </w:pPr>
    <w:r w:rsidRPr="00213FC5">
      <w:rPr>
        <w:sz w:val="18"/>
        <w:szCs w:val="18"/>
      </w:rPr>
      <w:t xml:space="preserve">Cite as: Nugent, G., Kohmetscher, A., Namuth-Covert, D., </w:t>
    </w:r>
    <w:r w:rsidR="002733BE" w:rsidRPr="00213FC5">
      <w:rPr>
        <w:sz w:val="18"/>
        <w:szCs w:val="18"/>
      </w:rPr>
      <w:t>Guretzky, J., Murphy, P., &amp; Lee, D-K</w:t>
    </w:r>
    <w:r w:rsidRPr="00213FC5">
      <w:rPr>
        <w:sz w:val="18"/>
        <w:szCs w:val="18"/>
      </w:rPr>
      <w:t xml:space="preserve">. (2016). </w:t>
    </w:r>
    <w:r w:rsidR="002733BE" w:rsidRPr="00213FC5">
      <w:rPr>
        <w:sz w:val="18"/>
        <w:szCs w:val="18"/>
      </w:rPr>
      <w:t>Learning from online modules in diverse instructional contexts</w:t>
    </w:r>
    <w:r w:rsidRPr="00213FC5">
      <w:rPr>
        <w:sz w:val="18"/>
        <w:szCs w:val="18"/>
      </w:rPr>
      <w:t xml:space="preserve">. </w:t>
    </w:r>
    <w:r w:rsidRPr="00213FC5">
      <w:rPr>
        <w:i/>
        <w:sz w:val="18"/>
        <w:szCs w:val="18"/>
      </w:rPr>
      <w:t>Interdisciplinary Journal of e-Skills and Life Long Learning, 12,</w:t>
    </w:r>
    <w:r w:rsidRPr="00213FC5">
      <w:rPr>
        <w:sz w:val="18"/>
        <w:szCs w:val="18"/>
      </w:rPr>
      <w:t xml:space="preserve"> </w:t>
    </w:r>
    <w:r w:rsidR="00213FC5" w:rsidRPr="00213FC5">
      <w:rPr>
        <w:sz w:val="18"/>
        <w:szCs w:val="18"/>
      </w:rPr>
      <w:t xml:space="preserve">113-121. Retrieved from </w:t>
    </w:r>
    <w:hyperlink r:id="rId1" w:history="1">
      <w:r w:rsidR="00213FC5" w:rsidRPr="00213FC5">
        <w:rPr>
          <w:rStyle w:val="Hyperlink"/>
          <w:sz w:val="18"/>
          <w:szCs w:val="18"/>
        </w:rPr>
        <w:t>http://www.informingscience.org/Publications/3511</w:t>
      </w:r>
    </w:hyperlink>
    <w:r w:rsidR="00213FC5" w:rsidRPr="00213FC5">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8"/>
  </w:num>
  <w:num w:numId="3">
    <w:abstractNumId w:val="2"/>
  </w:num>
  <w:num w:numId="4">
    <w:abstractNumId w:val="1"/>
  </w:num>
  <w:num w:numId="5">
    <w:abstractNumId w:val="6"/>
  </w:num>
  <w:num w:numId="6">
    <w:abstractNumId w:val="0"/>
  </w:num>
  <w:num w:numId="7">
    <w:abstractNumId w:val="7"/>
  </w:num>
  <w:num w:numId="8">
    <w:abstractNumId w:val="9"/>
  </w:num>
  <w:num w:numId="9">
    <w:abstractNumId w:val="5"/>
  </w:num>
  <w:num w:numId="10">
    <w:abstractNumId w:val="10"/>
  </w:num>
  <w:num w:numId="11">
    <w:abstractNumId w:val="4"/>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sDQwNTA0NDE1NLM0tjRR0lEKTi0uzszPAykwqQUAHOcU/SwAAAA="/>
  </w:docVars>
  <w:rsids>
    <w:rsidRoot w:val="00F07A1E"/>
    <w:rsid w:val="000032B8"/>
    <w:rsid w:val="00017F5A"/>
    <w:rsid w:val="00040867"/>
    <w:rsid w:val="00042D22"/>
    <w:rsid w:val="00060FC6"/>
    <w:rsid w:val="00084342"/>
    <w:rsid w:val="00087544"/>
    <w:rsid w:val="00090913"/>
    <w:rsid w:val="00093D70"/>
    <w:rsid w:val="00097567"/>
    <w:rsid w:val="000A1CED"/>
    <w:rsid w:val="000C64AB"/>
    <w:rsid w:val="000D2C49"/>
    <w:rsid w:val="000E76E8"/>
    <w:rsid w:val="000F36F8"/>
    <w:rsid w:val="000F4AFB"/>
    <w:rsid w:val="00112B32"/>
    <w:rsid w:val="00131150"/>
    <w:rsid w:val="00156D79"/>
    <w:rsid w:val="001756B1"/>
    <w:rsid w:val="00184E4F"/>
    <w:rsid w:val="001C2191"/>
    <w:rsid w:val="001E6D2F"/>
    <w:rsid w:val="001F35A6"/>
    <w:rsid w:val="002009F4"/>
    <w:rsid w:val="00202462"/>
    <w:rsid w:val="00213FC5"/>
    <w:rsid w:val="00272AC7"/>
    <w:rsid w:val="002733BE"/>
    <w:rsid w:val="002749B9"/>
    <w:rsid w:val="0028231F"/>
    <w:rsid w:val="00282B89"/>
    <w:rsid w:val="00284898"/>
    <w:rsid w:val="002E5C49"/>
    <w:rsid w:val="00303B9B"/>
    <w:rsid w:val="00313D04"/>
    <w:rsid w:val="0031635A"/>
    <w:rsid w:val="003406BE"/>
    <w:rsid w:val="00363895"/>
    <w:rsid w:val="00364EA2"/>
    <w:rsid w:val="003710E9"/>
    <w:rsid w:val="00372172"/>
    <w:rsid w:val="00373C5E"/>
    <w:rsid w:val="0039022D"/>
    <w:rsid w:val="003B241D"/>
    <w:rsid w:val="003D08A1"/>
    <w:rsid w:val="003E56A5"/>
    <w:rsid w:val="00412CF9"/>
    <w:rsid w:val="0042429F"/>
    <w:rsid w:val="00430FA2"/>
    <w:rsid w:val="004406B7"/>
    <w:rsid w:val="0044631F"/>
    <w:rsid w:val="00457002"/>
    <w:rsid w:val="00493ADC"/>
    <w:rsid w:val="004B6379"/>
    <w:rsid w:val="004C0D3E"/>
    <w:rsid w:val="004C1E3F"/>
    <w:rsid w:val="004C7F6A"/>
    <w:rsid w:val="004E052D"/>
    <w:rsid w:val="004E1681"/>
    <w:rsid w:val="004E4AB2"/>
    <w:rsid w:val="004F5295"/>
    <w:rsid w:val="00501ABF"/>
    <w:rsid w:val="00502629"/>
    <w:rsid w:val="00504DA9"/>
    <w:rsid w:val="005277C9"/>
    <w:rsid w:val="0054732E"/>
    <w:rsid w:val="00551D0F"/>
    <w:rsid w:val="00556190"/>
    <w:rsid w:val="005674FA"/>
    <w:rsid w:val="00582291"/>
    <w:rsid w:val="00587E17"/>
    <w:rsid w:val="00596456"/>
    <w:rsid w:val="005B1606"/>
    <w:rsid w:val="005D2BEB"/>
    <w:rsid w:val="005E2780"/>
    <w:rsid w:val="00614E12"/>
    <w:rsid w:val="00662832"/>
    <w:rsid w:val="00677058"/>
    <w:rsid w:val="00687009"/>
    <w:rsid w:val="00691052"/>
    <w:rsid w:val="006915DD"/>
    <w:rsid w:val="006A31E3"/>
    <w:rsid w:val="006B638B"/>
    <w:rsid w:val="006B64A9"/>
    <w:rsid w:val="006C24B3"/>
    <w:rsid w:val="006E5B3D"/>
    <w:rsid w:val="006E7B07"/>
    <w:rsid w:val="0070597E"/>
    <w:rsid w:val="007074A7"/>
    <w:rsid w:val="007614E9"/>
    <w:rsid w:val="00783C6F"/>
    <w:rsid w:val="0079696D"/>
    <w:rsid w:val="007B1787"/>
    <w:rsid w:val="007D4646"/>
    <w:rsid w:val="00823165"/>
    <w:rsid w:val="008358F6"/>
    <w:rsid w:val="00842576"/>
    <w:rsid w:val="00860B17"/>
    <w:rsid w:val="0086138E"/>
    <w:rsid w:val="00863242"/>
    <w:rsid w:val="00867315"/>
    <w:rsid w:val="00890256"/>
    <w:rsid w:val="00890FD8"/>
    <w:rsid w:val="0089248D"/>
    <w:rsid w:val="008955A4"/>
    <w:rsid w:val="008A0B8E"/>
    <w:rsid w:val="008A3914"/>
    <w:rsid w:val="008C24AE"/>
    <w:rsid w:val="008E1858"/>
    <w:rsid w:val="008E27D4"/>
    <w:rsid w:val="008E2C12"/>
    <w:rsid w:val="008F3137"/>
    <w:rsid w:val="00902430"/>
    <w:rsid w:val="00906FBF"/>
    <w:rsid w:val="00922232"/>
    <w:rsid w:val="00936180"/>
    <w:rsid w:val="009437DD"/>
    <w:rsid w:val="00950C92"/>
    <w:rsid w:val="009529CA"/>
    <w:rsid w:val="00981580"/>
    <w:rsid w:val="00984DC7"/>
    <w:rsid w:val="009A3C1A"/>
    <w:rsid w:val="009B29BF"/>
    <w:rsid w:val="009B5E71"/>
    <w:rsid w:val="009C3628"/>
    <w:rsid w:val="009D7D9A"/>
    <w:rsid w:val="009E1E72"/>
    <w:rsid w:val="009E22FD"/>
    <w:rsid w:val="00A1474B"/>
    <w:rsid w:val="00A3141F"/>
    <w:rsid w:val="00A47F3C"/>
    <w:rsid w:val="00A64C2E"/>
    <w:rsid w:val="00A65E25"/>
    <w:rsid w:val="00AA0CF3"/>
    <w:rsid w:val="00AD3D29"/>
    <w:rsid w:val="00AD502F"/>
    <w:rsid w:val="00AE5B55"/>
    <w:rsid w:val="00AF5E95"/>
    <w:rsid w:val="00AF7067"/>
    <w:rsid w:val="00B05E82"/>
    <w:rsid w:val="00B16CCE"/>
    <w:rsid w:val="00B16ECD"/>
    <w:rsid w:val="00B215C4"/>
    <w:rsid w:val="00B31A44"/>
    <w:rsid w:val="00B60D54"/>
    <w:rsid w:val="00B92251"/>
    <w:rsid w:val="00B923A0"/>
    <w:rsid w:val="00BC3E3F"/>
    <w:rsid w:val="00C17F68"/>
    <w:rsid w:val="00C2175C"/>
    <w:rsid w:val="00C33D4C"/>
    <w:rsid w:val="00C41242"/>
    <w:rsid w:val="00C716D7"/>
    <w:rsid w:val="00C91577"/>
    <w:rsid w:val="00CA4F07"/>
    <w:rsid w:val="00CC0F6D"/>
    <w:rsid w:val="00CD0317"/>
    <w:rsid w:val="00CD1B97"/>
    <w:rsid w:val="00CF63D1"/>
    <w:rsid w:val="00D05593"/>
    <w:rsid w:val="00D142B7"/>
    <w:rsid w:val="00D1570F"/>
    <w:rsid w:val="00D476BE"/>
    <w:rsid w:val="00D55BEB"/>
    <w:rsid w:val="00D62846"/>
    <w:rsid w:val="00D63881"/>
    <w:rsid w:val="00D65B65"/>
    <w:rsid w:val="00D663F0"/>
    <w:rsid w:val="00D74723"/>
    <w:rsid w:val="00D905EC"/>
    <w:rsid w:val="00D96090"/>
    <w:rsid w:val="00DA4564"/>
    <w:rsid w:val="00DA742D"/>
    <w:rsid w:val="00DB4DC1"/>
    <w:rsid w:val="00DE7282"/>
    <w:rsid w:val="00E03817"/>
    <w:rsid w:val="00E602FA"/>
    <w:rsid w:val="00E64D4B"/>
    <w:rsid w:val="00EA463F"/>
    <w:rsid w:val="00EC0972"/>
    <w:rsid w:val="00EC50CE"/>
    <w:rsid w:val="00EF26EA"/>
    <w:rsid w:val="00F06093"/>
    <w:rsid w:val="00F07A1E"/>
    <w:rsid w:val="00F24B1F"/>
    <w:rsid w:val="00F6093D"/>
    <w:rsid w:val="00F849A1"/>
    <w:rsid w:val="00F902AD"/>
    <w:rsid w:val="00FB6E5C"/>
    <w:rsid w:val="00FC2022"/>
    <w:rsid w:val="00FD76A3"/>
    <w:rsid w:val="00FD7A05"/>
    <w:rsid w:val="00FF5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9BF"/>
    <w:pPr>
      <w:spacing w:after="120"/>
    </w:pPr>
    <w:rPr>
      <w:sz w:val="22"/>
      <w:szCs w:val="24"/>
    </w:rPr>
  </w:style>
  <w:style w:type="paragraph" w:styleId="Heading1">
    <w:name w:val="heading 1"/>
    <w:basedOn w:val="Normal"/>
    <w:next w:val="Normal"/>
    <w:link w:val="Heading1Char"/>
    <w:qFormat/>
    <w:rsid w:val="009B29BF"/>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9B29BF"/>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9B29BF"/>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B29BF"/>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9B29B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B29B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B29B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B29B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B29B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29BF"/>
    <w:rPr>
      <w:b/>
      <w:bCs/>
    </w:rPr>
  </w:style>
  <w:style w:type="character" w:styleId="CommentReference">
    <w:name w:val="annotation reference"/>
    <w:basedOn w:val="DefaultParagraphFont"/>
    <w:uiPriority w:val="99"/>
    <w:semiHidden/>
    <w:unhideWhenUsed/>
    <w:rsid w:val="00FF5461"/>
    <w:rPr>
      <w:sz w:val="16"/>
      <w:szCs w:val="16"/>
    </w:rPr>
  </w:style>
  <w:style w:type="paragraph" w:styleId="CommentText">
    <w:name w:val="annotation text"/>
    <w:basedOn w:val="Normal"/>
    <w:link w:val="CommentTextChar"/>
    <w:uiPriority w:val="99"/>
    <w:semiHidden/>
    <w:unhideWhenUsed/>
    <w:rsid w:val="00FF5461"/>
    <w:rPr>
      <w:sz w:val="20"/>
      <w:szCs w:val="20"/>
    </w:rPr>
  </w:style>
  <w:style w:type="character" w:customStyle="1" w:styleId="CommentTextChar">
    <w:name w:val="Comment Text Char"/>
    <w:basedOn w:val="DefaultParagraphFont"/>
    <w:link w:val="CommentText"/>
    <w:uiPriority w:val="99"/>
    <w:semiHidden/>
    <w:rsid w:val="00FF5461"/>
  </w:style>
  <w:style w:type="paragraph" w:styleId="CommentSubject">
    <w:name w:val="annotation subject"/>
    <w:basedOn w:val="CommentText"/>
    <w:next w:val="CommentText"/>
    <w:link w:val="CommentSubjectChar"/>
    <w:uiPriority w:val="99"/>
    <w:semiHidden/>
    <w:unhideWhenUsed/>
    <w:rsid w:val="00FF5461"/>
    <w:rPr>
      <w:b/>
      <w:bCs/>
    </w:rPr>
  </w:style>
  <w:style w:type="character" w:customStyle="1" w:styleId="CommentSubjectChar">
    <w:name w:val="Comment Subject Char"/>
    <w:basedOn w:val="CommentTextChar"/>
    <w:link w:val="CommentSubject"/>
    <w:uiPriority w:val="99"/>
    <w:semiHidden/>
    <w:rsid w:val="00FF5461"/>
    <w:rPr>
      <w:b/>
      <w:bCs/>
    </w:rPr>
  </w:style>
  <w:style w:type="paragraph" w:customStyle="1" w:styleId="Reference">
    <w:name w:val="Reference"/>
    <w:basedOn w:val="Normal"/>
    <w:link w:val="ReferenceChar"/>
    <w:qFormat/>
    <w:rsid w:val="009B29BF"/>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9B29BF"/>
    <w:rPr>
      <w:rFonts w:ascii="Cambria" w:eastAsiaTheme="minorEastAsia" w:hAnsi="Cambria" w:cs="Calibri"/>
      <w:kern w:val="2"/>
      <w:sz w:val="21"/>
      <w:szCs w:val="21"/>
      <w:lang w:eastAsia="zh-CN"/>
    </w:rPr>
  </w:style>
  <w:style w:type="paragraph" w:customStyle="1" w:styleId="RefJournal">
    <w:name w:val="RefJournal"/>
    <w:basedOn w:val="Normal"/>
    <w:qFormat/>
    <w:rsid w:val="009B29BF"/>
    <w:pPr>
      <w:ind w:left="360" w:hanging="360"/>
    </w:pPr>
    <w:rPr>
      <w:sz w:val="20"/>
    </w:rPr>
  </w:style>
  <w:style w:type="paragraph" w:customStyle="1" w:styleId="HeaderJNL">
    <w:name w:val="HeaderJNL"/>
    <w:basedOn w:val="Header"/>
    <w:link w:val="HeaderJNLChar"/>
    <w:qFormat/>
    <w:rsid w:val="009B29BF"/>
    <w:rPr>
      <w:b/>
      <w:bCs/>
    </w:rPr>
  </w:style>
  <w:style w:type="character" w:customStyle="1" w:styleId="HeaderJNLChar">
    <w:name w:val="HeaderJNL Char"/>
    <w:basedOn w:val="DefaultParagraphFont"/>
    <w:link w:val="HeaderJNL"/>
    <w:rsid w:val="009B29BF"/>
    <w:rPr>
      <w:rFonts w:ascii="Arial" w:hAnsi="Arial"/>
      <w:b/>
      <w:bCs/>
      <w:szCs w:val="24"/>
    </w:rPr>
  </w:style>
  <w:style w:type="paragraph" w:customStyle="1" w:styleId="FooterJNL">
    <w:name w:val="FooterJNL"/>
    <w:basedOn w:val="Footer"/>
    <w:link w:val="FooterJNLChar"/>
    <w:qFormat/>
    <w:rsid w:val="009B29BF"/>
    <w:pPr>
      <w:jc w:val="center"/>
    </w:pPr>
    <w:rPr>
      <w:b/>
      <w:bCs/>
    </w:rPr>
  </w:style>
  <w:style w:type="character" w:customStyle="1" w:styleId="FooterJNLChar">
    <w:name w:val="FooterJNL Char"/>
    <w:basedOn w:val="DefaultParagraphFont"/>
    <w:link w:val="FooterJNL"/>
    <w:rsid w:val="009B29BF"/>
    <w:rPr>
      <w:rFonts w:ascii="Arial" w:hAnsi="Arial"/>
      <w:b/>
      <w:bCs/>
      <w:szCs w:val="24"/>
    </w:rPr>
  </w:style>
  <w:style w:type="character" w:customStyle="1" w:styleId="Heading1Char">
    <w:name w:val="Heading 1 Char"/>
    <w:basedOn w:val="DefaultParagraphFont"/>
    <w:link w:val="Heading1"/>
    <w:rsid w:val="009B29BF"/>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9B29BF"/>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9B29BF"/>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9B29BF"/>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9B29B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9B29BF"/>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9B29BF"/>
    <w:pPr>
      <w:spacing w:after="200"/>
    </w:pPr>
    <w:rPr>
      <w:b/>
      <w:bCs/>
      <w:color w:val="4F81BD" w:themeColor="accent1"/>
      <w:sz w:val="18"/>
      <w:szCs w:val="18"/>
    </w:rPr>
  </w:style>
  <w:style w:type="paragraph" w:styleId="ListParagraph">
    <w:name w:val="List Paragraph"/>
    <w:basedOn w:val="Normal"/>
    <w:uiPriority w:val="34"/>
    <w:qFormat/>
    <w:rsid w:val="009B29BF"/>
    <w:pPr>
      <w:ind w:left="720"/>
      <w:contextualSpacing/>
    </w:pPr>
  </w:style>
  <w:style w:type="character" w:customStyle="1" w:styleId="Heading4Char">
    <w:name w:val="Heading 4 Char"/>
    <w:basedOn w:val="DefaultParagraphFont"/>
    <w:link w:val="Heading4"/>
    <w:rsid w:val="004406B7"/>
    <w:rPr>
      <w:b/>
      <w:snapToGrid w:val="0"/>
      <w:sz w:val="18"/>
      <w:szCs w:val="24"/>
    </w:rPr>
  </w:style>
  <w:style w:type="table" w:styleId="TableGrid">
    <w:name w:val="Table Grid"/>
    <w:basedOn w:val="TableNormal"/>
    <w:uiPriority w:val="59"/>
    <w:rsid w:val="008902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9BF"/>
    <w:pPr>
      <w:spacing w:after="120"/>
    </w:pPr>
    <w:rPr>
      <w:sz w:val="22"/>
      <w:szCs w:val="24"/>
    </w:rPr>
  </w:style>
  <w:style w:type="paragraph" w:styleId="Heading1">
    <w:name w:val="heading 1"/>
    <w:basedOn w:val="Normal"/>
    <w:next w:val="Normal"/>
    <w:link w:val="Heading1Char"/>
    <w:qFormat/>
    <w:rsid w:val="009B29BF"/>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9B29BF"/>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9B29BF"/>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9B29BF"/>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9B29B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B29B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B29B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B29B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B29B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9B29BF"/>
    <w:rPr>
      <w:b/>
      <w:bCs/>
    </w:rPr>
  </w:style>
  <w:style w:type="character" w:styleId="CommentReference">
    <w:name w:val="annotation reference"/>
    <w:basedOn w:val="DefaultParagraphFont"/>
    <w:uiPriority w:val="99"/>
    <w:semiHidden/>
    <w:unhideWhenUsed/>
    <w:rsid w:val="00FF5461"/>
    <w:rPr>
      <w:sz w:val="16"/>
      <w:szCs w:val="16"/>
    </w:rPr>
  </w:style>
  <w:style w:type="paragraph" w:styleId="CommentText">
    <w:name w:val="annotation text"/>
    <w:basedOn w:val="Normal"/>
    <w:link w:val="CommentTextChar"/>
    <w:uiPriority w:val="99"/>
    <w:semiHidden/>
    <w:unhideWhenUsed/>
    <w:rsid w:val="00FF5461"/>
    <w:rPr>
      <w:sz w:val="20"/>
      <w:szCs w:val="20"/>
    </w:rPr>
  </w:style>
  <w:style w:type="character" w:customStyle="1" w:styleId="CommentTextChar">
    <w:name w:val="Comment Text Char"/>
    <w:basedOn w:val="DefaultParagraphFont"/>
    <w:link w:val="CommentText"/>
    <w:uiPriority w:val="99"/>
    <w:semiHidden/>
    <w:rsid w:val="00FF5461"/>
  </w:style>
  <w:style w:type="paragraph" w:styleId="CommentSubject">
    <w:name w:val="annotation subject"/>
    <w:basedOn w:val="CommentText"/>
    <w:next w:val="CommentText"/>
    <w:link w:val="CommentSubjectChar"/>
    <w:uiPriority w:val="99"/>
    <w:semiHidden/>
    <w:unhideWhenUsed/>
    <w:rsid w:val="00FF5461"/>
    <w:rPr>
      <w:b/>
      <w:bCs/>
    </w:rPr>
  </w:style>
  <w:style w:type="character" w:customStyle="1" w:styleId="CommentSubjectChar">
    <w:name w:val="Comment Subject Char"/>
    <w:basedOn w:val="CommentTextChar"/>
    <w:link w:val="CommentSubject"/>
    <w:uiPriority w:val="99"/>
    <w:semiHidden/>
    <w:rsid w:val="00FF5461"/>
    <w:rPr>
      <w:b/>
      <w:bCs/>
    </w:rPr>
  </w:style>
  <w:style w:type="paragraph" w:customStyle="1" w:styleId="Reference">
    <w:name w:val="Reference"/>
    <w:basedOn w:val="Normal"/>
    <w:link w:val="ReferenceChar"/>
    <w:qFormat/>
    <w:rsid w:val="009B29BF"/>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9B29BF"/>
    <w:rPr>
      <w:rFonts w:ascii="Cambria" w:eastAsiaTheme="minorEastAsia" w:hAnsi="Cambria" w:cs="Calibri"/>
      <w:kern w:val="2"/>
      <w:sz w:val="21"/>
      <w:szCs w:val="21"/>
      <w:lang w:eastAsia="zh-CN"/>
    </w:rPr>
  </w:style>
  <w:style w:type="paragraph" w:customStyle="1" w:styleId="RefJournal">
    <w:name w:val="RefJournal"/>
    <w:basedOn w:val="Normal"/>
    <w:qFormat/>
    <w:rsid w:val="009B29BF"/>
    <w:pPr>
      <w:ind w:left="360" w:hanging="360"/>
    </w:pPr>
    <w:rPr>
      <w:sz w:val="20"/>
    </w:rPr>
  </w:style>
  <w:style w:type="paragraph" w:customStyle="1" w:styleId="HeaderJNL">
    <w:name w:val="HeaderJNL"/>
    <w:basedOn w:val="Header"/>
    <w:link w:val="HeaderJNLChar"/>
    <w:qFormat/>
    <w:rsid w:val="009B29BF"/>
    <w:rPr>
      <w:b/>
      <w:bCs/>
    </w:rPr>
  </w:style>
  <w:style w:type="character" w:customStyle="1" w:styleId="HeaderJNLChar">
    <w:name w:val="HeaderJNL Char"/>
    <w:basedOn w:val="DefaultParagraphFont"/>
    <w:link w:val="HeaderJNL"/>
    <w:rsid w:val="009B29BF"/>
    <w:rPr>
      <w:rFonts w:ascii="Arial" w:hAnsi="Arial"/>
      <w:b/>
      <w:bCs/>
      <w:szCs w:val="24"/>
    </w:rPr>
  </w:style>
  <w:style w:type="paragraph" w:customStyle="1" w:styleId="FooterJNL">
    <w:name w:val="FooterJNL"/>
    <w:basedOn w:val="Footer"/>
    <w:link w:val="FooterJNLChar"/>
    <w:qFormat/>
    <w:rsid w:val="009B29BF"/>
    <w:pPr>
      <w:jc w:val="center"/>
    </w:pPr>
    <w:rPr>
      <w:b/>
      <w:bCs/>
    </w:rPr>
  </w:style>
  <w:style w:type="character" w:customStyle="1" w:styleId="FooterJNLChar">
    <w:name w:val="FooterJNL Char"/>
    <w:basedOn w:val="DefaultParagraphFont"/>
    <w:link w:val="FooterJNL"/>
    <w:rsid w:val="009B29BF"/>
    <w:rPr>
      <w:rFonts w:ascii="Arial" w:hAnsi="Arial"/>
      <w:b/>
      <w:bCs/>
      <w:szCs w:val="24"/>
    </w:rPr>
  </w:style>
  <w:style w:type="character" w:customStyle="1" w:styleId="Heading1Char">
    <w:name w:val="Heading 1 Char"/>
    <w:basedOn w:val="DefaultParagraphFont"/>
    <w:link w:val="Heading1"/>
    <w:rsid w:val="009B29BF"/>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9B29BF"/>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9B29BF"/>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9B29BF"/>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9B29B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9B29BF"/>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9B29BF"/>
    <w:pPr>
      <w:spacing w:after="200"/>
    </w:pPr>
    <w:rPr>
      <w:b/>
      <w:bCs/>
      <w:color w:val="4F81BD" w:themeColor="accent1"/>
      <w:sz w:val="18"/>
      <w:szCs w:val="18"/>
    </w:rPr>
  </w:style>
  <w:style w:type="paragraph" w:styleId="ListParagraph">
    <w:name w:val="List Paragraph"/>
    <w:basedOn w:val="Normal"/>
    <w:uiPriority w:val="34"/>
    <w:qFormat/>
    <w:rsid w:val="009B29BF"/>
    <w:pPr>
      <w:ind w:left="720"/>
      <w:contextualSpacing/>
    </w:pPr>
  </w:style>
  <w:style w:type="character" w:customStyle="1" w:styleId="Heading4Char">
    <w:name w:val="Heading 4 Char"/>
    <w:basedOn w:val="DefaultParagraphFont"/>
    <w:link w:val="Heading4"/>
    <w:rsid w:val="004406B7"/>
    <w:rPr>
      <w:b/>
      <w:snapToGrid w:val="0"/>
      <w:sz w:val="18"/>
      <w:szCs w:val="24"/>
    </w:rPr>
  </w:style>
  <w:style w:type="table" w:styleId="TableGrid">
    <w:name w:val="Table Grid"/>
    <w:basedOn w:val="TableNormal"/>
    <w:uiPriority w:val="59"/>
    <w:rsid w:val="008902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tmurphy82@gmail.com" TargetMode="External"/><Relationship Id="rId18" Type="http://schemas.openxmlformats.org/officeDocument/2006/relationships/chart" Target="charts/chart1.xml"/><Relationship Id="rId26" Type="http://schemas.openxmlformats.org/officeDocument/2006/relationships/hyperlink" Target="http://www.informingscience.org/Publications/1631" TargetMode="External"/><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chart" Target="charts/chart2.xml"/><Relationship Id="rId34" Type="http://schemas.openxmlformats.org/officeDocument/2006/relationships/image" Target="media/image6.jpe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jguretzky2@unl.edu" TargetMode="External"/><Relationship Id="rId17" Type="http://schemas.openxmlformats.org/officeDocument/2006/relationships/hyperlink" Target="http://passel.unl.edu/communities/index.php?idinformationmodule=1130447263&amp;idcollectionmodule=1130274200" TargetMode="External"/><Relationship Id="rId25" Type="http://schemas.openxmlformats.org/officeDocument/2006/relationships/chart" Target="charts/chart30.xml"/><Relationship Id="rId33" Type="http://schemas.openxmlformats.org/officeDocument/2006/relationships/image" Target="media/image5.jpe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mailto:Publisher@InformingScience.org" TargetMode="External"/><Relationship Id="rId20" Type="http://schemas.openxmlformats.org/officeDocument/2006/relationships/hyperlink" Target="http://passel.unl.edu/communities/index.php?idinformationmodule=1130447188&amp;idcollectionmodule=1130274200" TargetMode="External"/><Relationship Id="rId29" Type="http://schemas.openxmlformats.org/officeDocument/2006/relationships/image" Target="media/image1.tif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muth-covert.1@osu.edu" TargetMode="External"/><Relationship Id="rId24" Type="http://schemas.openxmlformats.org/officeDocument/2006/relationships/chart" Target="charts/chart3.xml"/><Relationship Id="rId32" Type="http://schemas.openxmlformats.org/officeDocument/2006/relationships/image" Target="media/image4.jpe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mailto:Publisher@InformingScience.org" TargetMode="External"/><Relationship Id="rId23" Type="http://schemas.openxmlformats.org/officeDocument/2006/relationships/hyperlink" Target="http://passel.unl.edu/communities/index.php?idinformationmodule=1130447261&amp;idcollectionmodule=1130274200" TargetMode="External"/><Relationship Id="rId28" Type="http://schemas.openxmlformats.org/officeDocument/2006/relationships/hyperlink" Target="http://fie-conference.org/fie2009/papers/1086.pdf" TargetMode="External"/><Relationship Id="rId36" Type="http://schemas.openxmlformats.org/officeDocument/2006/relationships/header" Target="header2.xml"/><Relationship Id="rId10" Type="http://schemas.openxmlformats.org/officeDocument/2006/relationships/hyperlink" Target="mailto:kohmetscher.1@osu.edu" TargetMode="External"/><Relationship Id="rId19" Type="http://schemas.openxmlformats.org/officeDocument/2006/relationships/chart" Target="charts/chart10.xml"/><Relationship Id="rId31"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hyperlink" Target="mailto:gnugent@unl.edu" TargetMode="External"/><Relationship Id="rId14" Type="http://schemas.openxmlformats.org/officeDocument/2006/relationships/hyperlink" Target="mailto:leedk@illinois.edu" TargetMode="External"/><Relationship Id="rId22" Type="http://schemas.openxmlformats.org/officeDocument/2006/relationships/chart" Target="charts/chart20.xml"/><Relationship Id="rId27" Type="http://schemas.openxmlformats.org/officeDocument/2006/relationships/hyperlink" Target="http://www.informingscience.org/Publications/419" TargetMode="External"/><Relationship Id="rId30" Type="http://schemas.openxmlformats.org/officeDocument/2006/relationships/image" Target="media/image2.jpeg"/><Relationship Id="rId35"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hyperlink" Target="http://www.informingscience.org/Publications/351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20D's\Downloads\JOURNAL_FormatInstructions.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CYFS%20grants\biodiversity\output\John-Lee%20chart.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yfs-server1\share\CYFS\Nugent\Biodiversity\john%20files\john%20graph.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CYFS%20grants\biodiversity\data\2013%20-%202014\Pat%20class\Patgraph.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CYFS%20grants\biodiversity\output\John-Lee%20chart.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cyfs-server1\share\CYFS\Nugent\Biodiversity\john%20files\john%20graph.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C:\CYFS%20grants\biodiversity\data\2013%20-%202014\Pat%20class\Patgraph.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48381452318461"/>
          <c:y val="3.2407407407407406E-2"/>
          <c:w val="0.84396062992125986"/>
          <c:h val="0.73577136191309422"/>
        </c:manualLayout>
      </c:layout>
      <c:lineChart>
        <c:grouping val="standard"/>
        <c:varyColors val="0"/>
        <c:ser>
          <c:idx val="0"/>
          <c:order val="0"/>
          <c:tx>
            <c:strRef>
              <c:f>Sheet1!$B$1</c:f>
              <c:strCache>
                <c:ptCount val="1"/>
                <c:pt idx="0">
                  <c:v>200 Level Class</c:v>
                </c:pt>
              </c:strCache>
            </c:strRef>
          </c:tx>
          <c:spPr>
            <a:ln w="28575" cap="rnd">
              <a:solidFill>
                <a:schemeClr val="accent1"/>
              </a:solidFill>
              <a:prstDash val="dash"/>
              <a:round/>
            </a:ln>
            <a:effectLst/>
          </c:spPr>
          <c:marker>
            <c:symbol val="circle"/>
            <c:size val="5"/>
            <c:spPr>
              <a:solidFill>
                <a:schemeClr val="accent1"/>
              </a:solidFill>
              <a:ln w="9525">
                <a:solidFill>
                  <a:schemeClr val="accent1"/>
                </a:solidFill>
                <a:prstDash val="dash"/>
              </a:ln>
              <a:effectLst/>
            </c:spPr>
          </c:marker>
          <c:cat>
            <c:strRef>
              <c:f>Sheet1!$A$2:$A$4</c:f>
              <c:strCache>
                <c:ptCount val="3"/>
                <c:pt idx="0">
                  <c:v>Baseline</c:v>
                </c:pt>
                <c:pt idx="1">
                  <c:v>Post</c:v>
                </c:pt>
                <c:pt idx="2">
                  <c:v>End Course</c:v>
                </c:pt>
              </c:strCache>
            </c:strRef>
          </c:cat>
          <c:val>
            <c:numRef>
              <c:f>Sheet1!$B$2:$B$4</c:f>
              <c:numCache>
                <c:formatCode>General</c:formatCode>
                <c:ptCount val="3"/>
                <c:pt idx="0">
                  <c:v>52</c:v>
                </c:pt>
                <c:pt idx="1">
                  <c:v>80</c:v>
                </c:pt>
                <c:pt idx="2">
                  <c:v>78</c:v>
                </c:pt>
              </c:numCache>
            </c:numRef>
          </c:val>
          <c:smooth val="0"/>
          <c:extLst xmlns:c16r2="http://schemas.microsoft.com/office/drawing/2015/06/chart">
            <c:ext xmlns:c16="http://schemas.microsoft.com/office/drawing/2014/chart" uri="{C3380CC4-5D6E-409C-BE32-E72D297353CC}">
              <c16:uniqueId val="{00000000-3856-4EF7-84CD-5A5577D0962E}"/>
            </c:ext>
          </c:extLst>
        </c:ser>
        <c:ser>
          <c:idx val="1"/>
          <c:order val="1"/>
          <c:tx>
            <c:strRef>
              <c:f>Sheet1!$C$1</c:f>
              <c:strCache>
                <c:ptCount val="1"/>
                <c:pt idx="0">
                  <c:v>400 Level Class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Sheet1!$A$2:$A$4</c:f>
              <c:strCache>
                <c:ptCount val="3"/>
                <c:pt idx="0">
                  <c:v>Baseline</c:v>
                </c:pt>
                <c:pt idx="1">
                  <c:v>Post</c:v>
                </c:pt>
                <c:pt idx="2">
                  <c:v>End Course</c:v>
                </c:pt>
              </c:strCache>
            </c:strRef>
          </c:cat>
          <c:val>
            <c:numRef>
              <c:f>Sheet1!$C$2:$C$4</c:f>
              <c:numCache>
                <c:formatCode>General</c:formatCode>
                <c:ptCount val="3"/>
                <c:pt idx="0">
                  <c:v>45</c:v>
                </c:pt>
                <c:pt idx="1">
                  <c:v>84</c:v>
                </c:pt>
                <c:pt idx="2">
                  <c:v>75</c:v>
                </c:pt>
              </c:numCache>
            </c:numRef>
          </c:val>
          <c:smooth val="0"/>
          <c:extLst xmlns:c16r2="http://schemas.microsoft.com/office/drawing/2015/06/chart">
            <c:ext xmlns:c16="http://schemas.microsoft.com/office/drawing/2014/chart" uri="{C3380CC4-5D6E-409C-BE32-E72D297353CC}">
              <c16:uniqueId val="{00000001-3856-4EF7-84CD-5A5577D0962E}"/>
            </c:ext>
          </c:extLst>
        </c:ser>
        <c:dLbls>
          <c:showLegendKey val="0"/>
          <c:showVal val="0"/>
          <c:showCatName val="0"/>
          <c:showSerName val="0"/>
          <c:showPercent val="0"/>
          <c:showBubbleSize val="0"/>
        </c:dLbls>
        <c:marker val="1"/>
        <c:smooth val="0"/>
        <c:axId val="160055680"/>
        <c:axId val="189307136"/>
      </c:lineChart>
      <c:catAx>
        <c:axId val="160055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9307136"/>
        <c:crosses val="autoZero"/>
        <c:auto val="1"/>
        <c:lblAlgn val="ctr"/>
        <c:lblOffset val="100"/>
        <c:noMultiLvlLbl val="0"/>
      </c:catAx>
      <c:valAx>
        <c:axId val="189307136"/>
        <c:scaling>
          <c:orientation val="minMax"/>
          <c:min val="3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t>
                </a:r>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05568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none"/>
          </c:marker>
          <c:dPt>
            <c:idx val="1"/>
            <c:bubble3D val="0"/>
            <c:spPr>
              <a:ln w="28575" cap="rnd">
                <a:solidFill>
                  <a:schemeClr val="accent1"/>
                </a:solidFill>
                <a:prstDash val="sysDash"/>
                <a:round/>
              </a:ln>
              <a:effectLst/>
            </c:spPr>
            <c:extLst xmlns:c16r2="http://schemas.microsoft.com/office/drawing/2015/06/chart">
              <c:ext xmlns:c16="http://schemas.microsoft.com/office/drawing/2014/chart" uri="{C3380CC4-5D6E-409C-BE32-E72D297353CC}">
                <c16:uniqueId val="{00000001-B9F4-4784-AC39-22C47AAA12AA}"/>
              </c:ext>
            </c:extLst>
          </c:dPt>
          <c:cat>
            <c:strRef>
              <c:f>Sheet1!$A$1:$A$4</c:f>
              <c:strCache>
                <c:ptCount val="4"/>
                <c:pt idx="0">
                  <c:v>Baseline (est)</c:v>
                </c:pt>
                <c:pt idx="1">
                  <c:v>Post Module</c:v>
                </c:pt>
                <c:pt idx="2">
                  <c:v>Post Lab</c:v>
                </c:pt>
                <c:pt idx="3">
                  <c:v>Final</c:v>
                </c:pt>
              </c:strCache>
            </c:strRef>
          </c:cat>
          <c:val>
            <c:numRef>
              <c:f>Sheet1!$B$1:$B$4</c:f>
              <c:numCache>
                <c:formatCode>General</c:formatCode>
                <c:ptCount val="4"/>
                <c:pt idx="0">
                  <c:v>25</c:v>
                </c:pt>
                <c:pt idx="1">
                  <c:v>71</c:v>
                </c:pt>
                <c:pt idx="2">
                  <c:v>86</c:v>
                </c:pt>
                <c:pt idx="3">
                  <c:v>86</c:v>
                </c:pt>
              </c:numCache>
            </c:numRef>
          </c:val>
          <c:smooth val="0"/>
          <c:extLst xmlns:c16r2="http://schemas.microsoft.com/office/drawing/2015/06/chart">
            <c:ext xmlns:c16="http://schemas.microsoft.com/office/drawing/2014/chart" uri="{C3380CC4-5D6E-409C-BE32-E72D297353CC}">
              <c16:uniqueId val="{00000002-B9F4-4784-AC39-22C47AAA12AA}"/>
            </c:ext>
          </c:extLst>
        </c:ser>
        <c:dLbls>
          <c:showLegendKey val="0"/>
          <c:showVal val="0"/>
          <c:showCatName val="0"/>
          <c:showSerName val="0"/>
          <c:showPercent val="0"/>
          <c:showBubbleSize val="0"/>
        </c:dLbls>
        <c:marker val="1"/>
        <c:smooth val="0"/>
        <c:axId val="62329984"/>
        <c:axId val="62331520"/>
      </c:lineChart>
      <c:catAx>
        <c:axId val="62329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2331520"/>
        <c:crosses val="autoZero"/>
        <c:auto val="1"/>
        <c:lblAlgn val="ctr"/>
        <c:lblOffset val="100"/>
        <c:noMultiLvlLbl val="0"/>
      </c:catAx>
      <c:valAx>
        <c:axId val="62331520"/>
        <c:scaling>
          <c:orientation val="minMax"/>
        </c:scaling>
        <c:delete val="0"/>
        <c:axPos val="l"/>
        <c:title>
          <c:tx>
            <c:rich>
              <a:bodyPr/>
              <a:lstStyle/>
              <a:p>
                <a:pPr>
                  <a:defRPr/>
                </a:pPr>
                <a:r>
                  <a:rPr lang="en-US" b="0"/>
                  <a:t>Percent</a:t>
                </a:r>
              </a:p>
            </c:rich>
          </c:tx>
          <c:layout/>
          <c:overlay val="0"/>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23299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Sheet1!$A$5:$A$7</c:f>
              <c:strCache>
                <c:ptCount val="3"/>
                <c:pt idx="0">
                  <c:v>Baseline</c:v>
                </c:pt>
                <c:pt idx="1">
                  <c:v>Post</c:v>
                </c:pt>
                <c:pt idx="2">
                  <c:v>End Course</c:v>
                </c:pt>
              </c:strCache>
            </c:strRef>
          </c:cat>
          <c:val>
            <c:numRef>
              <c:f>Sheet1!$B$5:$B$7</c:f>
              <c:numCache>
                <c:formatCode>General</c:formatCode>
                <c:ptCount val="3"/>
                <c:pt idx="0">
                  <c:v>40</c:v>
                </c:pt>
                <c:pt idx="1">
                  <c:v>53</c:v>
                </c:pt>
                <c:pt idx="2">
                  <c:v>66</c:v>
                </c:pt>
              </c:numCache>
            </c:numRef>
          </c:val>
          <c:smooth val="0"/>
          <c:extLst xmlns:c16r2="http://schemas.microsoft.com/office/drawing/2015/06/chart">
            <c:ext xmlns:c16="http://schemas.microsoft.com/office/drawing/2014/chart" uri="{C3380CC4-5D6E-409C-BE32-E72D297353CC}">
              <c16:uniqueId val="{00000000-E6B9-4D9D-83E2-9F5DB52E1285}"/>
            </c:ext>
          </c:extLst>
        </c:ser>
        <c:dLbls>
          <c:showLegendKey val="0"/>
          <c:showVal val="0"/>
          <c:showCatName val="0"/>
          <c:showSerName val="0"/>
          <c:showPercent val="0"/>
          <c:showBubbleSize val="0"/>
        </c:dLbls>
        <c:marker val="1"/>
        <c:smooth val="0"/>
        <c:axId val="62340096"/>
        <c:axId val="62997632"/>
      </c:lineChart>
      <c:catAx>
        <c:axId val="62340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2997632"/>
        <c:crosses val="autoZero"/>
        <c:auto val="1"/>
        <c:lblAlgn val="ctr"/>
        <c:lblOffset val="100"/>
        <c:noMultiLvlLbl val="0"/>
      </c:catAx>
      <c:valAx>
        <c:axId val="6299763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t>
                </a:r>
                <a:r>
                  <a:rPr lang="en-US" baseline="0"/>
                  <a:t> </a:t>
                </a:r>
                <a:endParaRPr lang="en-US"/>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23400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48381452318461"/>
          <c:y val="3.2407407407407406E-2"/>
          <c:w val="0.84396062992125986"/>
          <c:h val="0.73577136191309422"/>
        </c:manualLayout>
      </c:layout>
      <c:lineChart>
        <c:grouping val="standard"/>
        <c:varyColors val="0"/>
        <c:ser>
          <c:idx val="0"/>
          <c:order val="0"/>
          <c:tx>
            <c:strRef>
              <c:f>Sheet1!$B$1</c:f>
              <c:strCache>
                <c:ptCount val="1"/>
                <c:pt idx="0">
                  <c:v>200 Level Class</c:v>
                </c:pt>
              </c:strCache>
            </c:strRef>
          </c:tx>
          <c:spPr>
            <a:ln w="28575" cap="rnd">
              <a:solidFill>
                <a:schemeClr val="accent1"/>
              </a:solidFill>
              <a:prstDash val="dash"/>
              <a:round/>
            </a:ln>
            <a:effectLst/>
          </c:spPr>
          <c:marker>
            <c:symbol val="circle"/>
            <c:size val="5"/>
            <c:spPr>
              <a:solidFill>
                <a:schemeClr val="accent1"/>
              </a:solidFill>
              <a:ln w="9525">
                <a:solidFill>
                  <a:schemeClr val="accent1"/>
                </a:solidFill>
                <a:prstDash val="dash"/>
              </a:ln>
              <a:effectLst/>
            </c:spPr>
          </c:marker>
          <c:cat>
            <c:strRef>
              <c:f>Sheet1!$A$2:$A$4</c:f>
              <c:strCache>
                <c:ptCount val="3"/>
                <c:pt idx="0">
                  <c:v>Baseline</c:v>
                </c:pt>
                <c:pt idx="1">
                  <c:v>Post</c:v>
                </c:pt>
                <c:pt idx="2">
                  <c:v>End Course</c:v>
                </c:pt>
              </c:strCache>
            </c:strRef>
          </c:cat>
          <c:val>
            <c:numRef>
              <c:f>Sheet1!$B$2:$B$4</c:f>
              <c:numCache>
                <c:formatCode>General</c:formatCode>
                <c:ptCount val="3"/>
                <c:pt idx="0">
                  <c:v>52</c:v>
                </c:pt>
                <c:pt idx="1">
                  <c:v>80</c:v>
                </c:pt>
                <c:pt idx="2">
                  <c:v>78</c:v>
                </c:pt>
              </c:numCache>
            </c:numRef>
          </c:val>
          <c:smooth val="0"/>
          <c:extLst xmlns:c16r2="http://schemas.microsoft.com/office/drawing/2015/06/chart">
            <c:ext xmlns:c16="http://schemas.microsoft.com/office/drawing/2014/chart" uri="{C3380CC4-5D6E-409C-BE32-E72D297353CC}">
              <c16:uniqueId val="{00000000-3856-4EF7-84CD-5A5577D0962E}"/>
            </c:ext>
          </c:extLst>
        </c:ser>
        <c:ser>
          <c:idx val="1"/>
          <c:order val="1"/>
          <c:tx>
            <c:strRef>
              <c:f>Sheet1!$C$1</c:f>
              <c:strCache>
                <c:ptCount val="1"/>
                <c:pt idx="0">
                  <c:v>400 Level Class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Sheet1!$A$2:$A$4</c:f>
              <c:strCache>
                <c:ptCount val="3"/>
                <c:pt idx="0">
                  <c:v>Baseline</c:v>
                </c:pt>
                <c:pt idx="1">
                  <c:v>Post</c:v>
                </c:pt>
                <c:pt idx="2">
                  <c:v>End Course</c:v>
                </c:pt>
              </c:strCache>
            </c:strRef>
          </c:cat>
          <c:val>
            <c:numRef>
              <c:f>Sheet1!$C$2:$C$4</c:f>
              <c:numCache>
                <c:formatCode>General</c:formatCode>
                <c:ptCount val="3"/>
                <c:pt idx="0">
                  <c:v>45</c:v>
                </c:pt>
                <c:pt idx="1">
                  <c:v>84</c:v>
                </c:pt>
                <c:pt idx="2">
                  <c:v>75</c:v>
                </c:pt>
              </c:numCache>
            </c:numRef>
          </c:val>
          <c:smooth val="0"/>
          <c:extLst xmlns:c16r2="http://schemas.microsoft.com/office/drawing/2015/06/chart">
            <c:ext xmlns:c16="http://schemas.microsoft.com/office/drawing/2014/chart" uri="{C3380CC4-5D6E-409C-BE32-E72D297353CC}">
              <c16:uniqueId val="{00000001-3856-4EF7-84CD-5A5577D0962E}"/>
            </c:ext>
          </c:extLst>
        </c:ser>
        <c:dLbls>
          <c:showLegendKey val="0"/>
          <c:showVal val="0"/>
          <c:showCatName val="0"/>
          <c:showSerName val="0"/>
          <c:showPercent val="0"/>
          <c:showBubbleSize val="0"/>
        </c:dLbls>
        <c:marker val="1"/>
        <c:smooth val="0"/>
        <c:axId val="797158800"/>
        <c:axId val="797158240"/>
      </c:lineChart>
      <c:catAx>
        <c:axId val="797158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97158240"/>
        <c:crosses val="autoZero"/>
        <c:auto val="1"/>
        <c:lblAlgn val="ctr"/>
        <c:lblOffset val="100"/>
        <c:noMultiLvlLbl val="0"/>
      </c:catAx>
      <c:valAx>
        <c:axId val="797158240"/>
        <c:scaling>
          <c:orientation val="minMax"/>
          <c:min val="3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971588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none"/>
          </c:marker>
          <c:dPt>
            <c:idx val="1"/>
            <c:bubble3D val="0"/>
            <c:spPr>
              <a:ln w="28575" cap="rnd">
                <a:solidFill>
                  <a:schemeClr val="accent1"/>
                </a:solidFill>
                <a:prstDash val="sysDash"/>
                <a:round/>
              </a:ln>
              <a:effectLst/>
            </c:spPr>
            <c:extLst xmlns:c16r2="http://schemas.microsoft.com/office/drawing/2015/06/chart">
              <c:ext xmlns:c16="http://schemas.microsoft.com/office/drawing/2014/chart" uri="{C3380CC4-5D6E-409C-BE32-E72D297353CC}">
                <c16:uniqueId val="{00000001-B9F4-4784-AC39-22C47AAA12AA}"/>
              </c:ext>
            </c:extLst>
          </c:dPt>
          <c:cat>
            <c:strRef>
              <c:f>Sheet1!$A$1:$A$4</c:f>
              <c:strCache>
                <c:ptCount val="4"/>
                <c:pt idx="0">
                  <c:v>Baseline (est)</c:v>
                </c:pt>
                <c:pt idx="1">
                  <c:v>Post Module</c:v>
                </c:pt>
                <c:pt idx="2">
                  <c:v>Post Lab</c:v>
                </c:pt>
                <c:pt idx="3">
                  <c:v>Final</c:v>
                </c:pt>
              </c:strCache>
            </c:strRef>
          </c:cat>
          <c:val>
            <c:numRef>
              <c:f>Sheet1!$B$1:$B$4</c:f>
              <c:numCache>
                <c:formatCode>General</c:formatCode>
                <c:ptCount val="4"/>
                <c:pt idx="0">
                  <c:v>25</c:v>
                </c:pt>
                <c:pt idx="1">
                  <c:v>71</c:v>
                </c:pt>
                <c:pt idx="2">
                  <c:v>86</c:v>
                </c:pt>
                <c:pt idx="3">
                  <c:v>86</c:v>
                </c:pt>
              </c:numCache>
            </c:numRef>
          </c:val>
          <c:smooth val="0"/>
          <c:extLst xmlns:c16r2="http://schemas.microsoft.com/office/drawing/2015/06/chart">
            <c:ext xmlns:c16="http://schemas.microsoft.com/office/drawing/2014/chart" uri="{C3380CC4-5D6E-409C-BE32-E72D297353CC}">
              <c16:uniqueId val="{00000002-B9F4-4784-AC39-22C47AAA12AA}"/>
            </c:ext>
          </c:extLst>
        </c:ser>
        <c:dLbls>
          <c:showLegendKey val="0"/>
          <c:showVal val="0"/>
          <c:showCatName val="0"/>
          <c:showSerName val="0"/>
          <c:showPercent val="0"/>
          <c:showBubbleSize val="0"/>
        </c:dLbls>
        <c:smooth val="0"/>
        <c:axId val="341352704"/>
        <c:axId val="341357744"/>
      </c:lineChart>
      <c:catAx>
        <c:axId val="341352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1357744"/>
        <c:crosses val="autoZero"/>
        <c:auto val="1"/>
        <c:lblAlgn val="ctr"/>
        <c:lblOffset val="100"/>
        <c:noMultiLvlLbl val="0"/>
      </c:catAx>
      <c:valAx>
        <c:axId val="341357744"/>
        <c:scaling>
          <c:orientation val="minMax"/>
        </c:scaling>
        <c:delete val="0"/>
        <c:axPos val="l"/>
        <c:title>
          <c:tx>
            <c:rich>
              <a:bodyPr/>
              <a:lstStyle/>
              <a:p>
                <a:pPr>
                  <a:defRPr/>
                </a:pPr>
                <a:r>
                  <a:rPr lang="en-US" b="0"/>
                  <a:t>Percent</a:t>
                </a:r>
              </a:p>
            </c:rich>
          </c:tx>
          <c:overlay val="0"/>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13527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userShapes r:id="rId2"/>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Sheet1!$A$5:$A$7</c:f>
              <c:strCache>
                <c:ptCount val="3"/>
                <c:pt idx="0">
                  <c:v>Baseline</c:v>
                </c:pt>
                <c:pt idx="1">
                  <c:v>Post</c:v>
                </c:pt>
                <c:pt idx="2">
                  <c:v>End Course</c:v>
                </c:pt>
              </c:strCache>
            </c:strRef>
          </c:cat>
          <c:val>
            <c:numRef>
              <c:f>Sheet1!$B$5:$B$7</c:f>
              <c:numCache>
                <c:formatCode>General</c:formatCode>
                <c:ptCount val="3"/>
                <c:pt idx="0">
                  <c:v>40</c:v>
                </c:pt>
                <c:pt idx="1">
                  <c:v>53</c:v>
                </c:pt>
                <c:pt idx="2">
                  <c:v>66</c:v>
                </c:pt>
              </c:numCache>
            </c:numRef>
          </c:val>
          <c:smooth val="0"/>
          <c:extLst xmlns:c16r2="http://schemas.microsoft.com/office/drawing/2015/06/chart">
            <c:ext xmlns:c16="http://schemas.microsoft.com/office/drawing/2014/chart" uri="{C3380CC4-5D6E-409C-BE32-E72D297353CC}">
              <c16:uniqueId val="{00000000-E6B9-4D9D-83E2-9F5DB52E1285}"/>
            </c:ext>
          </c:extLst>
        </c:ser>
        <c:dLbls>
          <c:showLegendKey val="0"/>
          <c:showVal val="0"/>
          <c:showCatName val="0"/>
          <c:showSerName val="0"/>
          <c:showPercent val="0"/>
          <c:showBubbleSize val="0"/>
        </c:dLbls>
        <c:marker val="1"/>
        <c:smooth val="0"/>
        <c:axId val="341353824"/>
        <c:axId val="341357184"/>
      </c:lineChart>
      <c:catAx>
        <c:axId val="341353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1357184"/>
        <c:crosses val="autoZero"/>
        <c:auto val="1"/>
        <c:lblAlgn val="ctr"/>
        <c:lblOffset val="100"/>
        <c:noMultiLvlLbl val="0"/>
      </c:catAx>
      <c:valAx>
        <c:axId val="3413571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t>
                </a:r>
                <a:r>
                  <a:rPr lang="en-US" baseline="0"/>
                  <a:t> </a:t>
                </a:r>
                <a:endParaRPr lang="en-US"/>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13538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0.23667</cdr:x>
      <cdr:y>0.66667</cdr:y>
    </cdr:from>
    <cdr:to>
      <cdr:x>0.26166</cdr:x>
      <cdr:y>0.7019</cdr:y>
    </cdr:to>
    <cdr:sp macro="" textlink="">
      <cdr:nvSpPr>
        <cdr:cNvPr id="5" name="5-Point Star 4"/>
        <cdr:cNvSpPr/>
      </cdr:nvSpPr>
      <cdr:spPr>
        <a:xfrm xmlns:a="http://schemas.openxmlformats.org/drawingml/2006/main">
          <a:off x="1082070" y="1828797"/>
          <a:ext cx="114255" cy="96643"/>
        </a:xfrm>
        <a:prstGeom xmlns:a="http://schemas.openxmlformats.org/drawingml/2006/main" prst="star5">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drawings/drawing10.xml><?xml version="1.0" encoding="utf-8"?>
<c:userShapes xmlns:c="http://schemas.openxmlformats.org/drawingml/2006/chart">
  <cdr:relSizeAnchor xmlns:cdr="http://schemas.openxmlformats.org/drawingml/2006/chartDrawing">
    <cdr:from>
      <cdr:x>0.23667</cdr:x>
      <cdr:y>0.66667</cdr:y>
    </cdr:from>
    <cdr:to>
      <cdr:x>0.26166</cdr:x>
      <cdr:y>0.7019</cdr:y>
    </cdr:to>
    <cdr:sp macro="" textlink="">
      <cdr:nvSpPr>
        <cdr:cNvPr id="5" name="5-Point Star 4"/>
        <cdr:cNvSpPr/>
      </cdr:nvSpPr>
      <cdr:spPr>
        <a:xfrm xmlns:a="http://schemas.openxmlformats.org/drawingml/2006/main">
          <a:off x="1082070" y="1828797"/>
          <a:ext cx="114255" cy="96643"/>
        </a:xfrm>
        <a:prstGeom xmlns:a="http://schemas.openxmlformats.org/drawingml/2006/main" prst="star5">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73D95-BB93-4D44-AF41-B35F84712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5</TotalTime>
  <Pages>9</Pages>
  <Words>3948</Words>
  <Characters>23504</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Put Title Here Using Heading 1 Style</vt:lpstr>
    </vt:vector>
  </TitlesOfParts>
  <Manager>Gila Kurtz, Editor-in-Chief</Manager>
  <Company>Informing Science Institute</Company>
  <LinksUpToDate>false</LinksUpToDate>
  <CharactersWithSpaces>27398</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from Online Modules in Diverse Instructional Contexts</dc:title>
  <dc:creator>Gwen Nugent, Amy Kohmetscher, Deana Namuth-Covert, John Guretzky, Patrick Murphy, and DoKyoung Lee</dc:creator>
  <cp:keywords>Learning objects, online learning, instructional context, multimedia instruction, online modules</cp:keywords>
  <cp:lastModifiedBy>bettyboyd</cp:lastModifiedBy>
  <cp:revision>3</cp:revision>
  <cp:lastPrinted>2016-05-30T03:08:00Z</cp:lastPrinted>
  <dcterms:created xsi:type="dcterms:W3CDTF">2016-06-03T18:27:00Z</dcterms:created>
  <dcterms:modified xsi:type="dcterms:W3CDTF">2016-06-03T18:32:00Z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http://www.informingscience.org/Publications/3511</vt:lpwstr>
  </property>
  <property fmtid="{D5CDD505-2E9C-101B-9397-08002B2CF9AE}" pid="5" name="Journal Name">
    <vt:lpwstr>Interdisciplinary Journal of e-Skills and Lifelong Learning</vt:lpwstr>
  </property>
</Properties>
</file>