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0FE" w:rsidRDefault="007317BE" w:rsidP="001E5497">
      <w:pPr>
        <w:pStyle w:val="Heading1"/>
        <w:jc w:val="center"/>
        <w:rPr>
          <w:sz w:val="36"/>
        </w:rPr>
      </w:pPr>
      <w:r>
        <w:rPr>
          <w:sz w:val="36"/>
        </w:rPr>
        <w:t>Medical Community of Inquiry: A Diagnostic Tool for Learning, Assessment, and Research</w:t>
      </w:r>
    </w:p>
    <w:tbl>
      <w:tblPr>
        <w:tblStyle w:val="TableGrid"/>
        <w:tblW w:w="87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358"/>
        <w:gridCol w:w="3870"/>
        <w:gridCol w:w="2543"/>
      </w:tblGrid>
      <w:tr w:rsidR="001D1327" w:rsidTr="001E5497">
        <w:tc>
          <w:tcPr>
            <w:tcW w:w="2358" w:type="dxa"/>
            <w:hideMark/>
          </w:tcPr>
          <w:p w:rsidR="001D1327" w:rsidRDefault="001D1327" w:rsidP="001D1327">
            <w:pPr>
              <w:pStyle w:val="PaperInfo"/>
              <w:tabs>
                <w:tab w:val="left" w:pos="720"/>
              </w:tabs>
              <w:suppressAutoHyphens/>
            </w:pPr>
            <w:r>
              <w:t>Rachel Nave</w:t>
            </w:r>
            <w:r w:rsidR="003C1B44">
              <w:t>*</w:t>
            </w:r>
          </w:p>
        </w:tc>
        <w:tc>
          <w:tcPr>
            <w:tcW w:w="3870" w:type="dxa"/>
            <w:hideMark/>
          </w:tcPr>
          <w:p w:rsidR="001D1327" w:rsidRDefault="00AD33CF" w:rsidP="00AD33CF">
            <w:pPr>
              <w:pStyle w:val="PaperInfo"/>
              <w:tabs>
                <w:tab w:val="left" w:pos="720"/>
              </w:tabs>
              <w:suppressAutoHyphens/>
            </w:pPr>
            <w:proofErr w:type="spellStart"/>
            <w:r>
              <w:t>Technion</w:t>
            </w:r>
            <w:proofErr w:type="spellEnd"/>
            <w:r>
              <w:t>—Israel Institute of Technology</w:t>
            </w:r>
            <w:r w:rsidR="001D1327">
              <w:t xml:space="preserve">, </w:t>
            </w:r>
            <w:r>
              <w:t>Haifa, Israel</w:t>
            </w:r>
          </w:p>
        </w:tc>
        <w:tc>
          <w:tcPr>
            <w:tcW w:w="2543" w:type="dxa"/>
            <w:hideMark/>
          </w:tcPr>
          <w:p w:rsidR="001D1327" w:rsidRDefault="00C43FB5" w:rsidP="003C1B44">
            <w:pPr>
              <w:pStyle w:val="PaperInfo"/>
              <w:tabs>
                <w:tab w:val="left" w:pos="720"/>
              </w:tabs>
            </w:pPr>
            <w:r>
              <w:t>rnave@tx.technion.ac.il</w:t>
            </w:r>
          </w:p>
        </w:tc>
      </w:tr>
      <w:tr w:rsidR="001D1327" w:rsidTr="001E5497">
        <w:tc>
          <w:tcPr>
            <w:tcW w:w="2358" w:type="dxa"/>
            <w:hideMark/>
          </w:tcPr>
          <w:p w:rsidR="001D1327" w:rsidRDefault="001D1327" w:rsidP="003C1B44">
            <w:pPr>
              <w:pStyle w:val="PaperInfo"/>
              <w:tabs>
                <w:tab w:val="left" w:pos="720"/>
              </w:tabs>
            </w:pPr>
            <w:proofErr w:type="spellStart"/>
            <w:r>
              <w:t>Rakefet</w:t>
            </w:r>
            <w:proofErr w:type="spellEnd"/>
            <w:r>
              <w:t xml:space="preserve"> Ackerman </w:t>
            </w:r>
          </w:p>
        </w:tc>
        <w:tc>
          <w:tcPr>
            <w:tcW w:w="3870" w:type="dxa"/>
            <w:hideMark/>
          </w:tcPr>
          <w:p w:rsidR="001D1327" w:rsidRDefault="00AD33CF" w:rsidP="00AD33CF">
            <w:pPr>
              <w:pStyle w:val="PaperInfo"/>
              <w:tabs>
                <w:tab w:val="left" w:pos="720"/>
              </w:tabs>
              <w:suppressAutoHyphens/>
            </w:pPr>
            <w:proofErr w:type="spellStart"/>
            <w:r>
              <w:t>Technion</w:t>
            </w:r>
            <w:proofErr w:type="spellEnd"/>
            <w:r>
              <w:t>—Israel Institute of Technology</w:t>
            </w:r>
            <w:r w:rsidR="001D1327">
              <w:t xml:space="preserve">, </w:t>
            </w:r>
            <w:r>
              <w:t>Haifa, Israel</w:t>
            </w:r>
          </w:p>
        </w:tc>
        <w:tc>
          <w:tcPr>
            <w:tcW w:w="2543" w:type="dxa"/>
            <w:hideMark/>
          </w:tcPr>
          <w:p w:rsidR="001D1327" w:rsidRDefault="00C43FB5" w:rsidP="003C1B44">
            <w:pPr>
              <w:pStyle w:val="PaperInfo"/>
              <w:tabs>
                <w:tab w:val="left" w:pos="720"/>
              </w:tabs>
            </w:pPr>
            <w:r>
              <w:t>ackerman@ie.technion.ac.il</w:t>
            </w:r>
          </w:p>
        </w:tc>
      </w:tr>
      <w:tr w:rsidR="001D1327" w:rsidTr="001E5497">
        <w:tc>
          <w:tcPr>
            <w:tcW w:w="2358" w:type="dxa"/>
          </w:tcPr>
          <w:p w:rsidR="001D1327" w:rsidRDefault="00AD33CF" w:rsidP="003C1B44">
            <w:pPr>
              <w:pStyle w:val="PaperInfo"/>
              <w:tabs>
                <w:tab w:val="left" w:pos="720"/>
              </w:tabs>
            </w:pPr>
            <w:r>
              <w:t>Yehudit Judy Dori</w:t>
            </w:r>
          </w:p>
        </w:tc>
        <w:tc>
          <w:tcPr>
            <w:tcW w:w="3870" w:type="dxa"/>
          </w:tcPr>
          <w:p w:rsidR="001D1327" w:rsidRDefault="00AD33CF" w:rsidP="00AD33CF">
            <w:pPr>
              <w:pStyle w:val="PaperInfo"/>
              <w:tabs>
                <w:tab w:val="left" w:pos="720"/>
              </w:tabs>
              <w:suppressAutoHyphens/>
            </w:pPr>
            <w:proofErr w:type="spellStart"/>
            <w:r>
              <w:t>Technion</w:t>
            </w:r>
            <w:proofErr w:type="spellEnd"/>
            <w:r>
              <w:t>—Israel Institute of Technology, Haifa, Israel</w:t>
            </w:r>
          </w:p>
        </w:tc>
        <w:tc>
          <w:tcPr>
            <w:tcW w:w="2543" w:type="dxa"/>
          </w:tcPr>
          <w:p w:rsidR="001D1327" w:rsidRDefault="00C43FB5" w:rsidP="003C1B44">
            <w:pPr>
              <w:pStyle w:val="PaperInfo"/>
              <w:tabs>
                <w:tab w:val="left" w:pos="720"/>
              </w:tabs>
            </w:pPr>
            <w:r>
              <w:t>yjdori@technion.ac.il</w:t>
            </w:r>
          </w:p>
        </w:tc>
      </w:tr>
    </w:tbl>
    <w:p w:rsidR="001D1327" w:rsidRPr="008868DE" w:rsidRDefault="001D1327" w:rsidP="001D1327">
      <w:pPr>
        <w:pStyle w:val="PaperInfo"/>
        <w:rPr>
          <w14:ligatures w14:val="none"/>
          <w14:stylisticSets/>
          <w14:cntxtAlts w14:val="0"/>
        </w:rPr>
      </w:pPr>
      <w:bookmarkStart w:id="0" w:name="OLE_LINK26"/>
      <w:bookmarkStart w:id="1" w:name="OLE_LINK25"/>
      <w:bookmarkStart w:id="2" w:name="OLE_LINK24"/>
      <w:r>
        <w:t>* Corresponding author</w:t>
      </w:r>
    </w:p>
    <w:bookmarkEnd w:id="0"/>
    <w:bookmarkEnd w:id="1"/>
    <w:bookmarkEnd w:id="2"/>
    <w:p w:rsidR="002E7FAE" w:rsidRDefault="002E7FAE" w:rsidP="009E164D">
      <w:pPr>
        <w:pStyle w:val="Heading1"/>
      </w:pPr>
      <w:r>
        <w:t xml:space="preserve">Abstract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1D1327" w:rsidTr="002C2C65">
        <w:trPr>
          <w:cantSplit/>
        </w:trPr>
        <w:tc>
          <w:tcPr>
            <w:tcW w:w="0" w:type="auto"/>
            <w:hideMark/>
          </w:tcPr>
          <w:p w:rsidR="001D1327" w:rsidRDefault="001D1327" w:rsidP="003C1B44">
            <w:pPr>
              <w:pStyle w:val="PaperInfo"/>
              <w:tabs>
                <w:tab w:val="left" w:pos="720"/>
              </w:tabs>
            </w:pPr>
            <w:r>
              <w:t>Aim/Purpose</w:t>
            </w:r>
          </w:p>
        </w:tc>
        <w:tc>
          <w:tcPr>
            <w:tcW w:w="7207" w:type="dxa"/>
            <w:hideMark/>
          </w:tcPr>
          <w:p w:rsidR="001D1327" w:rsidRDefault="003C1B44" w:rsidP="003C1B44">
            <w:pPr>
              <w:pStyle w:val="PaperInfo"/>
              <w:tabs>
                <w:tab w:val="left" w:pos="720"/>
              </w:tabs>
            </w:pPr>
            <w:r>
              <w:t>These days educators are expected to integrate technological tools into classes. Although they acquire relevant skills, they are often reluctant to use these tools.</w:t>
            </w:r>
          </w:p>
        </w:tc>
      </w:tr>
      <w:tr w:rsidR="001D1327" w:rsidTr="002C2C65">
        <w:trPr>
          <w:cantSplit/>
        </w:trPr>
        <w:tc>
          <w:tcPr>
            <w:tcW w:w="0" w:type="auto"/>
            <w:hideMark/>
          </w:tcPr>
          <w:p w:rsidR="001D1327" w:rsidRDefault="001D1327" w:rsidP="003C1B44">
            <w:pPr>
              <w:pStyle w:val="PaperInfo"/>
              <w:tabs>
                <w:tab w:val="left" w:pos="720"/>
              </w:tabs>
            </w:pPr>
            <w:r>
              <w:t>Background</w:t>
            </w:r>
          </w:p>
        </w:tc>
        <w:tc>
          <w:tcPr>
            <w:tcW w:w="7207" w:type="dxa"/>
            <w:hideMark/>
          </w:tcPr>
          <w:p w:rsidR="001D1327" w:rsidRDefault="003C1B44" w:rsidP="003C1B44">
            <w:pPr>
              <w:pStyle w:val="PaperInfo"/>
              <w:tabs>
                <w:tab w:val="left" w:pos="720"/>
              </w:tabs>
            </w:pPr>
            <w:r>
              <w:t>We incorporated online forums for generating a Community of Inquiry (</w:t>
            </w:r>
            <w:proofErr w:type="spellStart"/>
            <w:r>
              <w:t>CoI</w:t>
            </w:r>
            <w:proofErr w:type="spellEnd"/>
            <w:r>
              <w:t>) in a faculty development program. Extending the Technology, Pedagogy, and Co</w:t>
            </w:r>
            <w:r>
              <w:t>n</w:t>
            </w:r>
            <w:r>
              <w:t xml:space="preserve">tent Knowledge (TPACK) model with Assessment Knowledge and content analysis of forum discourse and reflection after each </w:t>
            </w:r>
            <w:proofErr w:type="spellStart"/>
            <w:r>
              <w:t>CoI</w:t>
            </w:r>
            <w:proofErr w:type="spellEnd"/>
            <w:r>
              <w:t>, we offer the Diagno</w:t>
            </w:r>
            <w:r>
              <w:t>s</w:t>
            </w:r>
            <w:r>
              <w:t xml:space="preserve">tic Tool for Learning, Assessment, and Research (DTLAR). </w:t>
            </w:r>
          </w:p>
        </w:tc>
      </w:tr>
      <w:tr w:rsidR="001D1327" w:rsidTr="002C2C65">
        <w:trPr>
          <w:cantSplit/>
        </w:trPr>
        <w:tc>
          <w:tcPr>
            <w:tcW w:w="0" w:type="auto"/>
            <w:hideMark/>
          </w:tcPr>
          <w:p w:rsidR="001D1327" w:rsidRDefault="001D1327" w:rsidP="003C1B44">
            <w:pPr>
              <w:pStyle w:val="PaperInfo"/>
              <w:tabs>
                <w:tab w:val="left" w:pos="720"/>
              </w:tabs>
            </w:pPr>
            <w:r>
              <w:t>Methodology</w:t>
            </w:r>
          </w:p>
        </w:tc>
        <w:tc>
          <w:tcPr>
            <w:tcW w:w="7207" w:type="dxa"/>
            <w:hideMark/>
          </w:tcPr>
          <w:p w:rsidR="001D1327" w:rsidRDefault="003C1B44" w:rsidP="003C1B44">
            <w:pPr>
              <w:pStyle w:val="PaperInfo"/>
              <w:tabs>
                <w:tab w:val="left" w:pos="720"/>
              </w:tabs>
            </w:pPr>
            <w:r>
              <w:t>This study spanned over two cycles of a development program for medical fa</w:t>
            </w:r>
            <w:r>
              <w:t>c</w:t>
            </w:r>
            <w:r>
              <w:t xml:space="preserve">ulty. </w:t>
            </w:r>
          </w:p>
        </w:tc>
      </w:tr>
      <w:tr w:rsidR="001D1327" w:rsidTr="002C2C65">
        <w:trPr>
          <w:cantSplit/>
        </w:trPr>
        <w:tc>
          <w:tcPr>
            <w:tcW w:w="0" w:type="auto"/>
            <w:hideMark/>
          </w:tcPr>
          <w:p w:rsidR="001D1327" w:rsidRDefault="001D1327" w:rsidP="003C1B44">
            <w:pPr>
              <w:pStyle w:val="PaperInfo"/>
              <w:tabs>
                <w:tab w:val="left" w:pos="720"/>
              </w:tabs>
            </w:pPr>
            <w:r>
              <w:t>Contribution</w:t>
            </w:r>
          </w:p>
        </w:tc>
        <w:tc>
          <w:tcPr>
            <w:tcW w:w="7207" w:type="dxa"/>
            <w:hideMark/>
          </w:tcPr>
          <w:p w:rsidR="001D1327" w:rsidRDefault="003C1B44" w:rsidP="003C1B44">
            <w:pPr>
              <w:pStyle w:val="PaperInfo"/>
              <w:tabs>
                <w:tab w:val="left" w:pos="720"/>
              </w:tabs>
            </w:pPr>
            <w:r>
              <w:t xml:space="preserve">This study demonstrates how the DTLAR supports in-depth examination of the benefits and challenges of using </w:t>
            </w:r>
            <w:proofErr w:type="spellStart"/>
            <w:r>
              <w:t>CoIs</w:t>
            </w:r>
            <w:proofErr w:type="spellEnd"/>
            <w:r>
              <w:t xml:space="preserve"> for learning and teaching.</w:t>
            </w:r>
          </w:p>
        </w:tc>
      </w:tr>
      <w:tr w:rsidR="001D1327" w:rsidTr="002C2C65">
        <w:trPr>
          <w:cantSplit/>
        </w:trPr>
        <w:tc>
          <w:tcPr>
            <w:tcW w:w="0" w:type="auto"/>
            <w:hideMark/>
          </w:tcPr>
          <w:p w:rsidR="001D1327" w:rsidRDefault="001D1327" w:rsidP="003C1B44">
            <w:pPr>
              <w:pStyle w:val="PaperInfo"/>
              <w:tabs>
                <w:tab w:val="left" w:pos="720"/>
              </w:tabs>
            </w:pPr>
            <w:r>
              <w:t>Findings</w:t>
            </w:r>
          </w:p>
        </w:tc>
        <w:tc>
          <w:tcPr>
            <w:tcW w:w="7207" w:type="dxa"/>
            <w:hideMark/>
          </w:tcPr>
          <w:p w:rsidR="001D1327" w:rsidRDefault="003C1B44" w:rsidP="003C1B44">
            <w:pPr>
              <w:pStyle w:val="PaperInfo"/>
              <w:tabs>
                <w:tab w:val="left" w:pos="720"/>
              </w:tabs>
            </w:pPr>
            <w:r>
              <w:t xml:space="preserve">Before the program, participants had little experience with, and were reluctant to use, </w:t>
            </w:r>
            <w:proofErr w:type="spellStart"/>
            <w:r>
              <w:t>CoIs</w:t>
            </w:r>
            <w:proofErr w:type="spellEnd"/>
            <w:r>
              <w:t xml:space="preserve"> in classes. At the program completion, many were willing to adopt </w:t>
            </w:r>
            <w:proofErr w:type="spellStart"/>
            <w:r>
              <w:t>CoIs</w:t>
            </w:r>
            <w:proofErr w:type="spellEnd"/>
            <w:r>
              <w:t xml:space="preserve"> and appreciated this method’s contribution. Both </w:t>
            </w:r>
            <w:proofErr w:type="spellStart"/>
            <w:r>
              <w:t>CoIs</w:t>
            </w:r>
            <w:proofErr w:type="spellEnd"/>
            <w:r>
              <w:t xml:space="preserve"> discourse and r</w:t>
            </w:r>
            <w:r>
              <w:t>e</w:t>
            </w:r>
            <w:r>
              <w:t xml:space="preserve">flections included positive attitudes regarding cognitive and teacher awareness categories. However, negative attitudes regarding affective aspects and time-consuming aspects of </w:t>
            </w:r>
            <w:proofErr w:type="spellStart"/>
            <w:r>
              <w:t>CoIs</w:t>
            </w:r>
            <w:proofErr w:type="spellEnd"/>
            <w:r>
              <w:t xml:space="preserve"> were exposed. Participants who experienced facil</w:t>
            </w:r>
            <w:r>
              <w:t>i</w:t>
            </w:r>
            <w:r>
              <w:t xml:space="preserve">tating a </w:t>
            </w:r>
            <w:proofErr w:type="spellStart"/>
            <w:r>
              <w:t>CoI</w:t>
            </w:r>
            <w:proofErr w:type="spellEnd"/>
            <w:r>
              <w:t xml:space="preserve"> gained additional insights into its usefulness.</w:t>
            </w:r>
          </w:p>
        </w:tc>
      </w:tr>
      <w:tr w:rsidR="001D1327" w:rsidTr="002C2C65">
        <w:trPr>
          <w:cantSplit/>
        </w:trPr>
        <w:tc>
          <w:tcPr>
            <w:tcW w:w="0" w:type="auto"/>
            <w:hideMark/>
          </w:tcPr>
          <w:p w:rsidR="001D1327" w:rsidRDefault="001D1327" w:rsidP="003C1B44">
            <w:pPr>
              <w:pStyle w:val="PaperInfo"/>
              <w:tabs>
                <w:tab w:val="left" w:pos="720"/>
              </w:tabs>
            </w:pPr>
            <w:r>
              <w:t xml:space="preserve">Recommendations </w:t>
            </w:r>
            <w:r>
              <w:br/>
              <w:t>for Practitioners</w:t>
            </w:r>
          </w:p>
        </w:tc>
        <w:tc>
          <w:tcPr>
            <w:tcW w:w="7207" w:type="dxa"/>
            <w:hideMark/>
          </w:tcPr>
          <w:p w:rsidR="001D1327" w:rsidRDefault="003C1B44" w:rsidP="003C1B44">
            <w:pPr>
              <w:pStyle w:val="PaperInfo"/>
              <w:tabs>
                <w:tab w:val="left" w:pos="720"/>
              </w:tabs>
            </w:pPr>
            <w:r>
              <w:t xml:space="preserve">The DTLAR allows analyzing adaption of online forums for learning and teaching. </w:t>
            </w:r>
          </w:p>
        </w:tc>
      </w:tr>
      <w:tr w:rsidR="001D1327" w:rsidTr="002C2C65">
        <w:trPr>
          <w:cantSplit/>
        </w:trPr>
        <w:tc>
          <w:tcPr>
            <w:tcW w:w="0" w:type="auto"/>
            <w:hideMark/>
          </w:tcPr>
          <w:p w:rsidR="001D1327" w:rsidRDefault="001D1327" w:rsidP="003C1B44">
            <w:pPr>
              <w:pStyle w:val="PaperInfo"/>
              <w:tabs>
                <w:tab w:val="left" w:pos="720"/>
              </w:tabs>
            </w:pPr>
            <w:r>
              <w:t xml:space="preserve">Recommendation </w:t>
            </w:r>
            <w:r>
              <w:br/>
              <w:t xml:space="preserve">for Researchers </w:t>
            </w:r>
          </w:p>
        </w:tc>
        <w:tc>
          <w:tcPr>
            <w:tcW w:w="7207" w:type="dxa"/>
            <w:hideMark/>
          </w:tcPr>
          <w:p w:rsidR="001D1327" w:rsidRDefault="00611996" w:rsidP="00611996">
            <w:pPr>
              <w:pStyle w:val="PaperInfo"/>
              <w:tabs>
                <w:tab w:val="left" w:pos="720"/>
              </w:tabs>
            </w:pPr>
            <w:r>
              <w:t>The DTLAR allows analyzing factors that affect the acceptance of online f</w:t>
            </w:r>
            <w:r>
              <w:t>o</w:t>
            </w:r>
            <w:r>
              <w:t>rums for learning and teaching.</w:t>
            </w:r>
          </w:p>
        </w:tc>
      </w:tr>
      <w:tr w:rsidR="001D1327" w:rsidTr="002C2C65">
        <w:trPr>
          <w:cantSplit/>
        </w:trPr>
        <w:tc>
          <w:tcPr>
            <w:tcW w:w="0" w:type="auto"/>
            <w:hideMark/>
          </w:tcPr>
          <w:p w:rsidR="001D1327" w:rsidRDefault="001D1327" w:rsidP="003C1B44">
            <w:pPr>
              <w:pStyle w:val="PaperInfo"/>
              <w:tabs>
                <w:tab w:val="left" w:pos="720"/>
              </w:tabs>
            </w:pPr>
            <w:r>
              <w:lastRenderedPageBreak/>
              <w:t>Impact on Society</w:t>
            </w:r>
          </w:p>
        </w:tc>
        <w:tc>
          <w:tcPr>
            <w:tcW w:w="7207" w:type="dxa"/>
            <w:hideMark/>
          </w:tcPr>
          <w:p w:rsidR="001D1327" w:rsidRDefault="003C1B44" w:rsidP="002C2C65">
            <w:pPr>
              <w:pStyle w:val="PaperInfo"/>
              <w:keepNext/>
              <w:tabs>
                <w:tab w:val="left" w:pos="720"/>
              </w:tabs>
            </w:pPr>
            <w:r>
              <w:t>While the tool was implemented in the context of medical education, it can be readily applied in other adult learning programs.</w:t>
            </w:r>
          </w:p>
        </w:tc>
      </w:tr>
      <w:tr w:rsidR="001D1327" w:rsidTr="002C2C65">
        <w:trPr>
          <w:cantSplit/>
        </w:trPr>
        <w:tc>
          <w:tcPr>
            <w:tcW w:w="0" w:type="auto"/>
            <w:hideMark/>
          </w:tcPr>
          <w:p w:rsidR="001D1327" w:rsidRDefault="001D1327" w:rsidP="003C1B44">
            <w:pPr>
              <w:pStyle w:val="PaperInfo"/>
              <w:tabs>
                <w:tab w:val="left" w:pos="720"/>
              </w:tabs>
            </w:pPr>
            <w:r>
              <w:t>Future Research</w:t>
            </w:r>
          </w:p>
        </w:tc>
        <w:tc>
          <w:tcPr>
            <w:tcW w:w="7207" w:type="dxa"/>
            <w:hideMark/>
          </w:tcPr>
          <w:p w:rsidR="001D1327" w:rsidRDefault="00611996" w:rsidP="00A17FE2">
            <w:pPr>
              <w:pStyle w:val="PaperInfo"/>
              <w:tabs>
                <w:tab w:val="left" w:pos="720"/>
              </w:tabs>
            </w:pPr>
            <w:r>
              <w:t>The study includes several design aspects that probably affected the improv</w:t>
            </w:r>
            <w:r>
              <w:t>e</w:t>
            </w:r>
            <w:r>
              <w:t xml:space="preserve">ment and challenges we found. Future research is called for providing guidelines for </w:t>
            </w:r>
            <w:r w:rsidR="00703C87">
              <w:t xml:space="preserve">identifying </w:t>
            </w:r>
            <w:r w:rsidR="00A17FE2">
              <w:t xml:space="preserve">boundary conditions and </w:t>
            </w:r>
            <w:r w:rsidR="00703C87">
              <w:t xml:space="preserve">potential for </w:t>
            </w:r>
            <w:r>
              <w:t xml:space="preserve">further improvement. </w:t>
            </w:r>
          </w:p>
        </w:tc>
      </w:tr>
      <w:tr w:rsidR="001D1327" w:rsidTr="002C2C65">
        <w:trPr>
          <w:cantSplit/>
        </w:trPr>
        <w:tc>
          <w:tcPr>
            <w:tcW w:w="0" w:type="auto"/>
            <w:hideMark/>
          </w:tcPr>
          <w:p w:rsidR="001D1327" w:rsidRDefault="001D1327" w:rsidP="003C1B44">
            <w:pPr>
              <w:pStyle w:val="PaperInfo"/>
              <w:tabs>
                <w:tab w:val="left" w:pos="720"/>
              </w:tabs>
            </w:pPr>
            <w:r>
              <w:t>Keywords</w:t>
            </w:r>
          </w:p>
        </w:tc>
        <w:tc>
          <w:tcPr>
            <w:tcW w:w="7207" w:type="dxa"/>
            <w:hideMark/>
          </w:tcPr>
          <w:p w:rsidR="001D1327" w:rsidRDefault="001D1327" w:rsidP="003C1B44">
            <w:pPr>
              <w:pStyle w:val="PaperInfo"/>
              <w:tabs>
                <w:tab w:val="left" w:pos="720"/>
              </w:tabs>
            </w:pPr>
            <w:r>
              <w:t>community of inquiry, online forums, hands-on experience, TPACK, instru</w:t>
            </w:r>
            <w:r>
              <w:t>c</w:t>
            </w:r>
            <w:r>
              <w:t>tional technology, teacher professional development</w:t>
            </w:r>
          </w:p>
        </w:tc>
      </w:tr>
    </w:tbl>
    <w:p w:rsidR="006D50FE" w:rsidRDefault="007317BE">
      <w:pPr>
        <w:pStyle w:val="Heading1"/>
      </w:pPr>
      <w:r>
        <w:t>Introduction</w:t>
      </w:r>
    </w:p>
    <w:p w:rsidR="00402986" w:rsidRDefault="00402986" w:rsidP="00402986">
      <w:r>
        <w:t xml:space="preserve">Teaching involves multi-faceted skills, beyond content expertise </w:t>
      </w:r>
      <w:r>
        <w:fldChar w:fldCharType="begin"/>
      </w:r>
      <w:r>
        <w:instrText>ADDIN RW.CITE{{174 Mishra, P. 2007; 423 Mishra, Punya 2006}}</w:instrText>
      </w:r>
      <w:r>
        <w:fldChar w:fldCharType="separate"/>
      </w:r>
      <w:r>
        <w:t xml:space="preserve">(Mishra &amp; Koehler, 2007; </w:t>
      </w:r>
      <w:r>
        <w:fldChar w:fldCharType="end"/>
      </w:r>
      <w:r>
        <w:t xml:space="preserve"> </w:t>
      </w:r>
      <w:r>
        <w:fldChar w:fldCharType="begin"/>
      </w:r>
      <w:r>
        <w:instrText>ADDIN RW.CITE{{175 Polly, D. 2010; 488 Shulman, Lee S 1987}}</w:instrText>
      </w:r>
      <w:r>
        <w:fldChar w:fldCharType="separate"/>
      </w:r>
      <w:r>
        <w:t xml:space="preserve">Polly, Mims, Shepherd, &amp; Inan, 2010; Shulman, 1987). </w:t>
      </w:r>
      <w:r>
        <w:fldChar w:fldCharType="end"/>
      </w:r>
      <w:r>
        <w:t>A challenge today</w:t>
      </w:r>
      <w:r w:rsidR="00045CD7">
        <w:t>’</w:t>
      </w:r>
      <w:r>
        <w:t xml:space="preserve">s educators face is the adaptation of novel technologies involved in e-learning </w:t>
      </w:r>
      <w:r>
        <w:fldChar w:fldCharType="begin"/>
      </w:r>
      <w:r>
        <w:instrText>ADDIN RW.CITE{{221 Koehler, Matthew J 2007}}</w:instrText>
      </w:r>
      <w:r>
        <w:fldChar w:fldCharType="separate"/>
      </w:r>
      <w:r>
        <w:t xml:space="preserve">(Barak, Hussein-Farraj, &amp; Dori, 2016; </w:t>
      </w:r>
      <w:r>
        <w:rPr>
          <w:rFonts w:eastAsia="SimSun"/>
        </w:rPr>
        <w:t xml:space="preserve">Breslow, Pritchard, DeBoer, Stump, Ho, &amp; Seaton, </w:t>
      </w:r>
      <w:r>
        <w:t xml:space="preserve">2013; Koehler, Mishra, &amp; Yahya, 2007). </w:t>
      </w:r>
      <w:r>
        <w:fldChar w:fldCharType="end"/>
      </w:r>
      <w:r>
        <w:t xml:space="preserve">Although e-learning environments have clear potential for learning enhancement, well-established guidelines for maximizing and assessing their benefits are still lacking </w:t>
      </w:r>
      <w:r>
        <w:fldChar w:fldCharType="begin"/>
      </w:r>
      <w:r>
        <w:instrText>ADDIN RW.CITE{{492 Kay, Robin H 2006}}</w:instrText>
      </w:r>
      <w:r>
        <w:fldChar w:fldCharType="separate"/>
      </w:r>
      <w:r>
        <w:t xml:space="preserve">(Dori, 2007; </w:t>
      </w:r>
      <w:r>
        <w:fldChar w:fldCharType="end"/>
      </w:r>
      <w:r>
        <w:rPr>
          <w:vertAlign w:val="superscript"/>
        </w:rPr>
        <w:t xml:space="preserve"> </w:t>
      </w:r>
      <w:proofErr w:type="spellStart"/>
      <w:r>
        <w:t>Kozma</w:t>
      </w:r>
      <w:proofErr w:type="spellEnd"/>
      <w:r>
        <w:t xml:space="preserve"> &amp; </w:t>
      </w:r>
      <w:proofErr w:type="spellStart"/>
      <w:r>
        <w:t>Vota</w:t>
      </w:r>
      <w:proofErr w:type="spellEnd"/>
      <w:r>
        <w:t xml:space="preserve">, 2014; </w:t>
      </w:r>
      <w:r>
        <w:fldChar w:fldCharType="begin"/>
      </w:r>
      <w:r>
        <w:instrText>ADDIN RW.CITE{{234 Rienties, Bart 2012; 247 Schneckenberg, Dirk 2010}}</w:instrText>
      </w:r>
      <w:r>
        <w:fldChar w:fldCharType="separate"/>
      </w:r>
      <w:r>
        <w:t xml:space="preserve">Schneckenberg, 2010). </w:t>
      </w:r>
      <w:r>
        <w:fldChar w:fldCharType="end"/>
      </w:r>
    </w:p>
    <w:p w:rsidR="00402986" w:rsidRDefault="00402986" w:rsidP="00402986">
      <w:r>
        <w:t xml:space="preserve">There is a consensus among researchers and education designers that merely providing instructors with technological training is insufficient for preparing them to implement novel technologies into their classrooms </w:t>
      </w:r>
      <w:r>
        <w:fldChar w:fldCharType="begin"/>
      </w:r>
      <w:r>
        <w:instrText>ADDIN RW.CITE{{473 Hung, Min-Ling 2010}}</w:instrText>
      </w:r>
      <w:r>
        <w:fldChar w:fldCharType="separate"/>
      </w:r>
      <w:r>
        <w:t>(Hung, Chou, Chen, &amp; Own, 2010).</w:t>
      </w:r>
      <w:r>
        <w:fldChar w:fldCharType="end"/>
      </w:r>
      <w:r>
        <w:t xml:space="preserve"> In particular, previous studies reported limited success in embedding technology into medical education </w:t>
      </w:r>
      <w:r>
        <w:fldChar w:fldCharType="begin"/>
      </w:r>
      <w:r>
        <w:instrText>ADDIN RW.CITE{{283 Bligh, John 2005}}</w:instrText>
      </w:r>
      <w:r>
        <w:fldChar w:fldCharType="separate"/>
      </w:r>
      <w:r>
        <w:t>(Bligh, 2005</w:t>
      </w:r>
      <w:r>
        <w:fldChar w:fldCharType="end"/>
      </w:r>
      <w:r>
        <w:t xml:space="preserve">; </w:t>
      </w:r>
      <w:r>
        <w:fldChar w:fldCharType="begin"/>
      </w:r>
      <w:r>
        <w:instrText>ADDIN RW.CITE{{458 Steinert, Yvonne 2012; 136 Steinert, Y. 2011}}</w:instrText>
      </w:r>
      <w:r>
        <w:fldChar w:fldCharType="separate"/>
      </w:r>
      <w:r>
        <w:t>Steinert, 2012)</w:t>
      </w:r>
      <w:r>
        <w:fldChar w:fldCharType="end"/>
      </w:r>
      <w:r>
        <w:t xml:space="preserve">. </w:t>
      </w:r>
      <w:r>
        <w:rPr>
          <w:rFonts w:hint="eastAsia"/>
        </w:rPr>
        <w:t>A central cha</w:t>
      </w:r>
      <w:r>
        <w:rPr>
          <w:rFonts w:hint="eastAsia"/>
        </w:rPr>
        <w:t>l</w:t>
      </w:r>
      <w:r>
        <w:rPr>
          <w:rFonts w:hint="eastAsia"/>
        </w:rPr>
        <w:t>lenge in distance learning is encouraging involvement of students in learning activities. A relevant tool is the Community of Inquiry (</w:t>
      </w:r>
      <w:proofErr w:type="spellStart"/>
      <w:r>
        <w:rPr>
          <w:rFonts w:hint="eastAsia"/>
        </w:rPr>
        <w:t>CoI</w:t>
      </w:r>
      <w:proofErr w:type="spellEnd"/>
      <w:r>
        <w:rPr>
          <w:rFonts w:hint="eastAsia"/>
        </w:rPr>
        <w:t xml:space="preserve">) implemented via online forums. </w:t>
      </w:r>
      <w:r>
        <w:t xml:space="preserve">In </w:t>
      </w:r>
      <w:r>
        <w:rPr>
          <w:rFonts w:hint="eastAsia"/>
        </w:rPr>
        <w:t>the present study</w:t>
      </w:r>
      <w:r>
        <w:t>,</w:t>
      </w:r>
      <w:r>
        <w:rPr>
          <w:rFonts w:hint="eastAsia"/>
        </w:rPr>
        <w:t xml:space="preserve"> </w:t>
      </w:r>
      <w:proofErr w:type="spellStart"/>
      <w:r>
        <w:t>CoI</w:t>
      </w:r>
      <w:proofErr w:type="spellEnd"/>
      <w:r>
        <w:t xml:space="preserve"> methodology</w:t>
      </w:r>
      <w:r>
        <w:rPr>
          <w:rFonts w:hint="eastAsia"/>
        </w:rPr>
        <w:t xml:space="preserve"> was implemented </w:t>
      </w:r>
      <w:r>
        <w:t xml:space="preserve">in annual programs for medical faculty development </w:t>
      </w:r>
      <w:r>
        <w:rPr>
          <w:rFonts w:hint="eastAsia"/>
        </w:rPr>
        <w:t xml:space="preserve">and its benefits and challenges were analyzed by using a methodology </w:t>
      </w:r>
      <w:r>
        <w:t>detailed below</w:t>
      </w:r>
      <w:r>
        <w:rPr>
          <w:rFonts w:hint="eastAsia"/>
        </w:rPr>
        <w:t>.</w:t>
      </w:r>
    </w:p>
    <w:p w:rsidR="00402986" w:rsidRDefault="00402986" w:rsidP="00402986">
      <w:pPr>
        <w:pStyle w:val="Heading2"/>
      </w:pPr>
      <w:r>
        <w:t>Background</w:t>
      </w:r>
    </w:p>
    <w:p w:rsidR="00402986" w:rsidRDefault="00402986" w:rsidP="00402986">
      <w:r>
        <w:t xml:space="preserve">An important characteristic of using </w:t>
      </w:r>
      <w:proofErr w:type="spellStart"/>
      <w:proofErr w:type="gramStart"/>
      <w:r>
        <w:t>CoIs</w:t>
      </w:r>
      <w:proofErr w:type="spellEnd"/>
      <w:proofErr w:type="gramEnd"/>
      <w:r>
        <w:t xml:space="preserve"> as a learning and teaching methodology is the support of ongoing dialogue between students and instructors at any time </w:t>
      </w:r>
      <w:r>
        <w:fldChar w:fldCharType="begin"/>
      </w:r>
      <w:r>
        <w:instrText>ADDIN RW.CITE{{186 Arbaugh, JB 2010}}</w:instrText>
      </w:r>
      <w:r>
        <w:fldChar w:fldCharType="separate"/>
      </w:r>
      <w:r>
        <w:t>(Arbaugh, Bangert, &amp; Cleveland-Innes, 2010;</w:t>
      </w:r>
      <w:r>
        <w:fldChar w:fldCharType="end"/>
      </w:r>
      <w:r>
        <w:t xml:space="preserve"> </w:t>
      </w:r>
      <w:r>
        <w:fldChar w:fldCharType="begin"/>
      </w:r>
      <w:r>
        <w:instrText>ADDIN RW.CITE{{189 Rubin, Beth 2012}}</w:instrText>
      </w:r>
      <w:r>
        <w:fldChar w:fldCharType="separate"/>
      </w:r>
      <w:r>
        <w:t xml:space="preserve">Rubin, Fernandes, &amp; Avgerinou, 2013). </w:t>
      </w:r>
      <w:r>
        <w:fldChar w:fldCharType="end"/>
      </w:r>
      <w:r>
        <w:t xml:space="preserve">Important advantages of </w:t>
      </w:r>
      <w:proofErr w:type="spellStart"/>
      <w:r>
        <w:t>CoI</w:t>
      </w:r>
      <w:proofErr w:type="spellEnd"/>
      <w:r>
        <w:t xml:space="preserve"> in cases of scarce face-to-face meetings are the opportunities for ongoing in-depth processing of course content and for social support despite the physical distance</w:t>
      </w:r>
      <w:r>
        <w:rPr>
          <w:vertAlign w:val="superscript"/>
        </w:rPr>
        <w:t xml:space="preserve"> </w:t>
      </w:r>
      <w:r>
        <w:fldChar w:fldCharType="begin"/>
      </w:r>
      <w:r>
        <w:instrText>ADDIN RW.CITE{{165 Cook, D.A. 2010}}</w:instrText>
      </w:r>
      <w:r>
        <w:fldChar w:fldCharType="separate"/>
      </w:r>
      <w:r>
        <w:t xml:space="preserve">(Cook, Garside, Levinson, Dupras, &amp; </w:t>
      </w:r>
      <w:proofErr w:type="spellStart"/>
      <w:r>
        <w:t>Montori</w:t>
      </w:r>
      <w:proofErr w:type="spellEnd"/>
      <w:r>
        <w:t>, 2010;</w:t>
      </w:r>
      <w:r>
        <w:fldChar w:fldCharType="end"/>
      </w:r>
      <w:r>
        <w:t xml:space="preserve"> </w:t>
      </w:r>
      <w:proofErr w:type="spellStart"/>
      <w:r>
        <w:t>Makoul</w:t>
      </w:r>
      <w:proofErr w:type="spellEnd"/>
      <w:r>
        <w:t xml:space="preserve">, </w:t>
      </w:r>
      <w:proofErr w:type="spellStart"/>
      <w:r>
        <w:t>Zick</w:t>
      </w:r>
      <w:proofErr w:type="spellEnd"/>
      <w:r>
        <w:t xml:space="preserve">, </w:t>
      </w:r>
      <w:proofErr w:type="spellStart"/>
      <w:r>
        <w:t>Aakhus</w:t>
      </w:r>
      <w:proofErr w:type="spellEnd"/>
      <w:r>
        <w:t>, Neely</w:t>
      </w:r>
      <w:r w:rsidR="009669D2">
        <w:t>,</w:t>
      </w:r>
      <w:r>
        <w:t xml:space="preserve"> &amp; Roemer, 2010; </w:t>
      </w:r>
      <w:r>
        <w:fldChar w:fldCharType="begin"/>
      </w:r>
      <w:r>
        <w:instrText>ADDIN RW.CITE{{151 Sargeant, J. 2006}}</w:instrText>
      </w:r>
      <w:r>
        <w:fldChar w:fldCharType="separate"/>
      </w:r>
      <w:r>
        <w:t xml:space="preserve">Sargeant, Curran, Allen, Jarvis-Selinger, &amp; Ho, 2006). </w:t>
      </w:r>
      <w:r>
        <w:fldChar w:fldCharType="end"/>
      </w:r>
      <w:r>
        <w:t xml:space="preserve">Of particular relevance for the present study is the finding that </w:t>
      </w:r>
      <w:proofErr w:type="spellStart"/>
      <w:proofErr w:type="gramStart"/>
      <w:r>
        <w:t>CoIs</w:t>
      </w:r>
      <w:proofErr w:type="spellEnd"/>
      <w:proofErr w:type="gramEnd"/>
      <w:r>
        <w:t xml:space="preserve"> applied for training teachers were perceived by the trainees themselves as important professional development activities </w:t>
      </w:r>
      <w:r>
        <w:fldChar w:fldCharType="begin"/>
      </w:r>
      <w:r>
        <w:instrText>ADDIN RW.CITE{{412 Goldstein, Olzan 2011; 413 Goldstein, Olzan 2011}}</w:instrText>
      </w:r>
      <w:r>
        <w:fldChar w:fldCharType="separate"/>
      </w:r>
      <w:r>
        <w:t>(Gol</w:t>
      </w:r>
      <w:r>
        <w:t>d</w:t>
      </w:r>
      <w:r>
        <w:t>stein, Shonfeld et al., 2011; Goldstein, Waldman et al., 2011)</w:t>
      </w:r>
      <w:r>
        <w:fldChar w:fldCharType="end"/>
      </w:r>
      <w:r>
        <w:t xml:space="preserve">. However, several studies have identified that lack of </w:t>
      </w:r>
      <w:r w:rsidR="00045CD7">
        <w:t>‘</w:t>
      </w:r>
      <w:r>
        <w:t>e-competence</w:t>
      </w:r>
      <w:r w:rsidR="00045CD7">
        <w:t>’</w:t>
      </w:r>
      <w:r>
        <w:t>—previous technological experience, confidence, training, assimilation, and attitudes toward technology—</w:t>
      </w:r>
      <w:proofErr w:type="gramStart"/>
      <w:r>
        <w:t>was</w:t>
      </w:r>
      <w:proofErr w:type="gramEnd"/>
      <w:r>
        <w:t xml:space="preserve"> the central barrier for the successful implementation of teac</w:t>
      </w:r>
      <w:r>
        <w:t>h</w:t>
      </w:r>
      <w:r>
        <w:t xml:space="preserve">ing technologies </w:t>
      </w:r>
      <w:r>
        <w:fldChar w:fldCharType="begin"/>
      </w:r>
      <w:r>
        <w:instrText>ADDIN RW.CITE{{470 Raby, Carole 2011}}</w:instrText>
      </w:r>
      <w:r>
        <w:fldChar w:fldCharType="separate"/>
      </w:r>
      <w:r>
        <w:t>(Avidov-Ungar &amp; Iluz, 2014</w:t>
      </w:r>
      <w:r>
        <w:fldChar w:fldCharType="end"/>
      </w:r>
      <w:r>
        <w:fldChar w:fldCharType="begin"/>
      </w:r>
      <w:r>
        <w:instrText>ADDIN RW.CITE{{471 Lim, Cher Ping 2008; 504 Guan, Jianfei 2008}}</w:instrText>
      </w:r>
      <w:r>
        <w:fldChar w:fldCharType="separate"/>
      </w:r>
      <w:r>
        <w:t xml:space="preserve">; Raby &amp; Meunier, 2011; Ruiz, Mintzer, &amp; Leipzig, 2006). </w:t>
      </w:r>
      <w:r>
        <w:fldChar w:fldCharType="end"/>
      </w:r>
      <w:r>
        <w:t xml:space="preserve"> </w:t>
      </w:r>
    </w:p>
    <w:p w:rsidR="00097334" w:rsidRDefault="00402986" w:rsidP="009669D2">
      <w:pPr>
        <w:rPr>
          <w:noProof/>
        </w:rPr>
      </w:pPr>
      <w:r>
        <w:t xml:space="preserve">In the present study, we aimed to offer insights for increasing </w:t>
      </w:r>
      <w:proofErr w:type="spellStart"/>
      <w:r>
        <w:t>CoI</w:t>
      </w:r>
      <w:proofErr w:type="spellEnd"/>
      <w:r>
        <w:t xml:space="preserve"> utilization in medical courses, by extending the Technological Pedagogical Content Knowledge model (TPACK, see </w:t>
      </w:r>
      <w:r w:rsidRPr="009669D2">
        <w:t>Figure</w:t>
      </w:r>
      <w:r>
        <w:t xml:space="preserve"> 1) offered by</w:t>
      </w:r>
      <w:r>
        <w:fldChar w:fldCharType="begin"/>
      </w:r>
      <w:r>
        <w:instrText>ADDIN RW.CITE{{174 Mishra, P. 2007}}</w:instrText>
      </w:r>
      <w:r>
        <w:fldChar w:fldCharType="separate"/>
      </w:r>
      <w:r>
        <w:t xml:space="preserve"> Mishra and Koehler (2007)</w:t>
      </w:r>
      <w:r>
        <w:fldChar w:fldCharType="end"/>
      </w:r>
      <w:r>
        <w:t xml:space="preserve"> with additional, novel </w:t>
      </w:r>
      <w:r w:rsidR="009669D2">
        <w:t xml:space="preserve">components. </w:t>
      </w:r>
      <w:r>
        <w:t>TPACK is a framework for effe</w:t>
      </w:r>
      <w:r>
        <w:t>c</w:t>
      </w:r>
      <w:r>
        <w:t>tive integration of technology into pedagogy, building upon Schulman</w:t>
      </w:r>
      <w:r w:rsidR="00045CD7">
        <w:t>’</w:t>
      </w:r>
      <w:r>
        <w:t>s</w:t>
      </w:r>
      <w:r>
        <w:fldChar w:fldCharType="begin"/>
      </w:r>
      <w:r>
        <w:instrText>ADDIN RW.CITE{{248 Shulman, Lee S 1987}}</w:instrText>
      </w:r>
      <w:r>
        <w:fldChar w:fldCharType="separate"/>
      </w:r>
      <w:r>
        <w:t xml:space="preserve"> (1987)</w:t>
      </w:r>
      <w:r>
        <w:fldChar w:fldCharType="end"/>
      </w:r>
      <w:r>
        <w:t xml:space="preserve"> Pedagogical Content Knowledge (PCK) framework. According to TPACK, learning is most effective when teachers are aware of the complex interplay among the various teaching facets </w:t>
      </w:r>
      <w:r>
        <w:fldChar w:fldCharType="begin"/>
      </w:r>
      <w:r>
        <w:instrText>ADDIN RW.CITE{{342 Dall'Alba, Gloria 2009}}</w:instrText>
      </w:r>
      <w:r>
        <w:fldChar w:fldCharType="separate"/>
      </w:r>
      <w:r>
        <w:t>(Dall</w:t>
      </w:r>
      <w:r w:rsidR="00045CD7">
        <w:t>’</w:t>
      </w:r>
      <w:r>
        <w:t>Alba, 2009</w:t>
      </w:r>
      <w:r>
        <w:fldChar w:fldCharType="end"/>
      </w:r>
      <w:r>
        <w:t xml:space="preserve">; </w:t>
      </w:r>
      <w:r>
        <w:fldChar w:fldCharType="begin"/>
      </w:r>
      <w:r>
        <w:instrText>ADDIN RW.CITE{{236 Oster-Levinz, Anat 2010}}</w:instrText>
      </w:r>
      <w:r>
        <w:fldChar w:fldCharType="separate"/>
      </w:r>
      <w:r>
        <w:t>Oster-Levinz &amp; Klieger, 2010).</w:t>
      </w:r>
      <w:r>
        <w:fldChar w:fldCharType="end"/>
      </w:r>
      <w:r>
        <w:t xml:space="preserve"> Acquisition of well-established skills for integrating novel technologies into teaching is suggested to be particularly successful if educators adopt a positive attitude and willingness to use these tools </w:t>
      </w:r>
      <w:r>
        <w:fldChar w:fldCharType="begin"/>
      </w:r>
      <w:r>
        <w:instrText>ADDIN RW.CITE{{416 Allen, I Elaine 2006}}</w:instrText>
      </w:r>
      <w:r>
        <w:fldChar w:fldCharType="separate"/>
      </w:r>
      <w:r>
        <w:t>(Barak, Nissim</w:t>
      </w:r>
      <w:r w:rsidR="009669D2">
        <w:t>,</w:t>
      </w:r>
      <w:r>
        <w:t xml:space="preserve"> &amp; Ben-Zvi, 2011; Huang &amp; Liaw, 2005; Wong, Greenhalgh, &amp; Pawson, 2010).</w:t>
      </w:r>
      <w:r>
        <w:fldChar w:fldCharType="end"/>
      </w:r>
      <w:r>
        <w:t xml:space="preserve"> Hence, professional development programs for teachers provide an opportunity for acquis</w:t>
      </w:r>
      <w:r>
        <w:t>i</w:t>
      </w:r>
      <w:r>
        <w:t>tion of such skills (</w:t>
      </w:r>
      <w:r>
        <w:fldChar w:fldCharType="begin"/>
      </w:r>
      <w:r>
        <w:instrText>ADDIN RW.CITE{{205 Henderson, Michael 2007}}</w:instrText>
      </w:r>
      <w:r>
        <w:fldChar w:fldCharType="separate"/>
      </w:r>
      <w:r>
        <w:t>Henderson, 2007</w:t>
      </w:r>
      <w:r>
        <w:fldChar w:fldCharType="end"/>
      </w:r>
      <w:r>
        <w:t xml:space="preserve">; </w:t>
      </w:r>
      <w:r>
        <w:fldChar w:fldCharType="begin"/>
      </w:r>
      <w:r>
        <w:instrText>ADDIN RW.CITE{{206 Prestridge, Sarah 2010}}</w:instrText>
      </w:r>
      <w:r>
        <w:fldChar w:fldCharType="separate"/>
      </w:r>
      <w:r>
        <w:t>Prestridge, 2010)</w:t>
      </w:r>
      <w:r>
        <w:fldChar w:fldCharType="end"/>
      </w:r>
      <w:r>
        <w:t xml:space="preserve">. Albion, </w:t>
      </w:r>
      <w:proofErr w:type="spellStart"/>
      <w:r>
        <w:t>Tondeur</w:t>
      </w:r>
      <w:proofErr w:type="spellEnd"/>
      <w:r>
        <w:t xml:space="preserve">, </w:t>
      </w:r>
      <w:proofErr w:type="spellStart"/>
      <w:r>
        <w:t>Forkosh</w:t>
      </w:r>
      <w:proofErr w:type="spellEnd"/>
      <w:r>
        <w:t>-Baruch</w:t>
      </w:r>
      <w:r w:rsidR="009669D2">
        <w:t>,</w:t>
      </w:r>
      <w:r>
        <w:t xml:space="preserve"> and </w:t>
      </w:r>
      <w:proofErr w:type="spellStart"/>
      <w:r>
        <w:lastRenderedPageBreak/>
        <w:t>Peeraer</w:t>
      </w:r>
      <w:proofErr w:type="spellEnd"/>
      <w:r>
        <w:t xml:space="preserve"> (2015) have recently suggested a model for evaluating teacher professional development pra</w:t>
      </w:r>
      <w:r>
        <w:t>c</w:t>
      </w:r>
      <w:r>
        <w:t>tices in technological teaching environments for fostering educational change. In particular, exper</w:t>
      </w:r>
      <w:r>
        <w:t>i</w:t>
      </w:r>
      <w:r>
        <w:t xml:space="preserve">ence with </w:t>
      </w:r>
      <w:proofErr w:type="spellStart"/>
      <w:r>
        <w:t>CoI</w:t>
      </w:r>
      <w:proofErr w:type="spellEnd"/>
      <w:r>
        <w:t xml:space="preserve"> is expected to attenuate the reluctance of teachers to use this pedagogical tool for i</w:t>
      </w:r>
      <w:r>
        <w:t>n</w:t>
      </w:r>
      <w:r>
        <w:t xml:space="preserve">teractions with students and to increase awareness of its potential contribution to education </w:t>
      </w:r>
      <w:r>
        <w:fldChar w:fldCharType="begin"/>
      </w:r>
      <w:r>
        <w:instrText>ADDIN RW.CITE{{165 Cook, D.A. 2010}}</w:instrText>
      </w:r>
      <w:r>
        <w:fldChar w:fldCharType="separate"/>
      </w:r>
      <w:r>
        <w:t>(Cook et al., 2010</w:t>
      </w:r>
      <w:r>
        <w:fldChar w:fldCharType="end"/>
      </w:r>
      <w:r>
        <w:t xml:space="preserve">; </w:t>
      </w:r>
      <w:r>
        <w:fldChar w:fldCharType="begin"/>
      </w:r>
      <w:r>
        <w:instrText>ADDIN RW.CITE{{245 Norris, Cathleen 2006; 136 Steinert, Y. 2011}}</w:instrText>
      </w:r>
      <w:r>
        <w:fldChar w:fldCharType="separate"/>
      </w:r>
      <w:r>
        <w:t xml:space="preserve">Norris &amp; Soloway, 2006; Steinert, 2012). </w:t>
      </w:r>
      <w:r>
        <w:fldChar w:fldCharType="end"/>
      </w:r>
      <w:r>
        <w:rPr>
          <w:noProof/>
        </w:rPr>
        <w:t xml:space="preserve"> </w:t>
      </w:r>
    </w:p>
    <w:p w:rsidR="00097334" w:rsidRDefault="00B01B27" w:rsidP="00097334">
      <w:pPr>
        <w:pStyle w:val="NormalWeb"/>
        <w:keepLines/>
        <w:spacing w:before="0" w:beforeAutospacing="0" w:after="0" w:afterAutospacing="0"/>
        <w:ind w:left="142" w:right="-1616"/>
        <w:rPr>
          <w:b/>
          <w:bCs/>
          <w:kern w:val="24"/>
          <w:sz w:val="22"/>
        </w:rPr>
      </w:pPr>
      <w:r>
        <w:rPr>
          <w:b/>
          <w:bCs/>
          <w:noProof/>
          <w:kern w:val="24"/>
          <w:sz w:val="22"/>
        </w:rPr>
      </w:r>
      <w:r>
        <w:rPr>
          <w:b/>
          <w:bCs/>
          <w:noProof/>
          <w:kern w:val="24"/>
          <w:sz w:val="22"/>
        </w:rPr>
        <w:pict>
          <v:group id="1028" o:spid="_x0000_s1031" style="width:396.5pt;height:284.05pt;mso-position-horizontal-relative:char;mso-position-vertical-relative:line" coordorigin=",4064" coordsize="50355,36076">
            <v:shape id="1030" o:spid="_x0000_s1032" style="position:absolute;left:25454;top:4064;width:24311;height:20586;visibility:visible;mso-position-horizontal-relative:text;mso-position-vertical-relative:text;mso-width-relative:page;mso-height-relative:page" coordsize="21600,21600" o:spt="100" adj="0,,0" path="" filled="f" stroked="f">
              <v:stroke joinstyle="miter"/>
              <v:imagedata r:id="rId8" o:title="" embosscolor="whit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arrowok="t" gradientshapeok="t" o:connecttype="rect"/>
              <o:lock v:ext="edit" aspectratio="t"/>
            </v:shape>
            <v:shapetype id="_x0000_t202" coordsize="21600,21600" o:spt="202" path="m,l,21600r21600,l21600,xe">
              <v:stroke joinstyle="miter"/>
              <v:path gradientshapeok="t" o:connecttype="rect"/>
            </v:shapetype>
            <v:shape id="1031" o:spid="_x0000_s1033" type="#_x0000_t202" style="position:absolute;top:9360;width:50355;height:30780;visibility:visible;mso-position-horizontal-relative:text;mso-position-vertical-relative:text;mso-width-relative:page;mso-height-relative:page" filled="f" stroked="f">
              <v:textbox style="mso-fit-shape-to-text:t">
                <w:txbxContent>
                  <w:p w:rsidR="003C1B44" w:rsidRDefault="003C1B44" w:rsidP="00097334">
                    <w:pPr>
                      <w:pStyle w:val="NormalWeb"/>
                      <w:keepLines/>
                      <w:spacing w:before="0" w:beforeAutospacing="0" w:after="0" w:afterAutospacing="0"/>
                      <w:ind w:left="142" w:right="-1616"/>
                      <w:rPr>
                        <w:sz w:val="22"/>
                      </w:rPr>
                    </w:pPr>
                    <w:r>
                      <w:rPr>
                        <w:b/>
                        <w:bCs/>
                        <w:kern w:val="24"/>
                        <w:sz w:val="22"/>
                      </w:rPr>
                      <w:t>CK – Content Knowledge</w:t>
                    </w:r>
                    <w:r>
                      <w:rPr>
                        <w:kern w:val="24"/>
                        <w:sz w:val="22"/>
                      </w:rPr>
                      <w:t xml:space="preserve">: </w:t>
                    </w:r>
                  </w:p>
                  <w:p w:rsidR="003C1B44" w:rsidRDefault="003C1B44" w:rsidP="00097334">
                    <w:pPr>
                      <w:pStyle w:val="NormalWeb"/>
                      <w:keepLines/>
                      <w:spacing w:before="0" w:beforeAutospacing="0" w:after="0" w:afterAutospacing="0"/>
                      <w:ind w:left="142" w:right="-1616"/>
                      <w:rPr>
                        <w:sz w:val="22"/>
                        <w:rtl/>
                      </w:rPr>
                    </w:pPr>
                    <w:r>
                      <w:rPr>
                        <w:i/>
                        <w:iCs/>
                        <w:kern w:val="24"/>
                        <w:sz w:val="22"/>
                      </w:rPr>
                      <w:t>Medical Education</w:t>
                    </w:r>
                  </w:p>
                  <w:p w:rsidR="003C1B44" w:rsidRDefault="003C1B44" w:rsidP="00097334">
                    <w:pPr>
                      <w:pStyle w:val="NormalWeb"/>
                      <w:keepLines/>
                      <w:spacing w:before="0" w:beforeAutospacing="0" w:after="0" w:afterAutospacing="0"/>
                      <w:ind w:left="142" w:right="-1616"/>
                      <w:rPr>
                        <w:sz w:val="22"/>
                        <w:rtl/>
                      </w:rPr>
                    </w:pPr>
                    <w:r>
                      <w:rPr>
                        <w:b/>
                        <w:bCs/>
                        <w:kern w:val="24"/>
                        <w:sz w:val="22"/>
                      </w:rPr>
                      <w:t>TK – Technological Knowledge</w:t>
                    </w:r>
                    <w:r>
                      <w:rPr>
                        <w:kern w:val="24"/>
                        <w:sz w:val="22"/>
                      </w:rPr>
                      <w:t xml:space="preserve">: </w:t>
                    </w:r>
                  </w:p>
                  <w:p w:rsidR="003C1B44" w:rsidRDefault="003C1B44" w:rsidP="00097334">
                    <w:pPr>
                      <w:pStyle w:val="NormalWeb"/>
                      <w:keepLines/>
                      <w:spacing w:before="0" w:beforeAutospacing="0" w:after="0" w:afterAutospacing="0"/>
                      <w:ind w:left="142" w:right="-1616"/>
                      <w:rPr>
                        <w:sz w:val="22"/>
                        <w:rtl/>
                      </w:rPr>
                    </w:pPr>
                    <w:r>
                      <w:rPr>
                        <w:i/>
                        <w:iCs/>
                        <w:kern w:val="24"/>
                        <w:sz w:val="22"/>
                      </w:rPr>
                      <w:t>Using Forums</w:t>
                    </w:r>
                  </w:p>
                  <w:p w:rsidR="003C1B44" w:rsidRDefault="003C1B44" w:rsidP="00097334">
                    <w:pPr>
                      <w:pStyle w:val="NormalWeb"/>
                      <w:keepLines/>
                      <w:spacing w:before="0" w:beforeAutospacing="0" w:after="0" w:afterAutospacing="0"/>
                      <w:ind w:left="142" w:right="-1616"/>
                      <w:rPr>
                        <w:sz w:val="22"/>
                        <w:rtl/>
                      </w:rPr>
                    </w:pPr>
                    <w:r>
                      <w:rPr>
                        <w:b/>
                        <w:bCs/>
                        <w:kern w:val="24"/>
                        <w:sz w:val="22"/>
                      </w:rPr>
                      <w:t>PK – Pedagogical Knowledge</w:t>
                    </w:r>
                    <w:r>
                      <w:rPr>
                        <w:kern w:val="24"/>
                        <w:sz w:val="22"/>
                      </w:rPr>
                      <w:t xml:space="preserve">: </w:t>
                    </w:r>
                  </w:p>
                  <w:p w:rsidR="003C1B44" w:rsidRDefault="003C1B44" w:rsidP="00097334">
                    <w:pPr>
                      <w:pStyle w:val="NormalWeb"/>
                      <w:keepLines/>
                      <w:spacing w:before="0" w:beforeAutospacing="0" w:after="0" w:afterAutospacing="0"/>
                      <w:ind w:left="142" w:right="-1616"/>
                      <w:rPr>
                        <w:sz w:val="22"/>
                        <w:rtl/>
                      </w:rPr>
                    </w:pPr>
                    <w:r>
                      <w:rPr>
                        <w:i/>
                        <w:iCs/>
                        <w:kern w:val="24"/>
                        <w:sz w:val="22"/>
                      </w:rPr>
                      <w:t>Teaching in Small Groups</w:t>
                    </w:r>
                  </w:p>
                  <w:p w:rsidR="003C1B44" w:rsidRDefault="003C1B44" w:rsidP="00097334">
                    <w:pPr>
                      <w:pStyle w:val="NormalWeb"/>
                      <w:keepLines/>
                      <w:spacing w:before="0" w:beforeAutospacing="0" w:after="0" w:afterAutospacing="0"/>
                      <w:ind w:left="142" w:right="-1616"/>
                      <w:rPr>
                        <w:sz w:val="22"/>
                        <w:rtl/>
                      </w:rPr>
                    </w:pPr>
                    <w:r>
                      <w:rPr>
                        <w:b/>
                        <w:bCs/>
                        <w:kern w:val="24"/>
                        <w:sz w:val="22"/>
                      </w:rPr>
                      <w:t>TCK – Technological Content Knowledge</w:t>
                    </w:r>
                    <w:r>
                      <w:rPr>
                        <w:kern w:val="24"/>
                        <w:sz w:val="22"/>
                      </w:rPr>
                      <w:t xml:space="preserve">: </w:t>
                    </w:r>
                  </w:p>
                  <w:p w:rsidR="003C1B44" w:rsidRDefault="003C1B44" w:rsidP="00097334">
                    <w:pPr>
                      <w:pStyle w:val="NormalWeb"/>
                      <w:keepLines/>
                      <w:spacing w:before="0" w:beforeAutospacing="0" w:after="0" w:afterAutospacing="0"/>
                      <w:ind w:left="142" w:right="-1616"/>
                      <w:rPr>
                        <w:sz w:val="22"/>
                        <w:rtl/>
                      </w:rPr>
                    </w:pPr>
                    <w:r>
                      <w:rPr>
                        <w:i/>
                        <w:iCs/>
                        <w:kern w:val="24"/>
                        <w:sz w:val="22"/>
                      </w:rPr>
                      <w:t>Technology in Medicine</w:t>
                    </w:r>
                  </w:p>
                  <w:p w:rsidR="003C1B44" w:rsidRDefault="003C1B44" w:rsidP="00097334">
                    <w:pPr>
                      <w:pStyle w:val="NormalWeb"/>
                      <w:keepLines/>
                      <w:spacing w:before="0" w:beforeAutospacing="0" w:after="0" w:afterAutospacing="0"/>
                      <w:ind w:left="142" w:right="-1616"/>
                      <w:rPr>
                        <w:sz w:val="22"/>
                        <w:rtl/>
                      </w:rPr>
                    </w:pPr>
                    <w:r>
                      <w:rPr>
                        <w:b/>
                        <w:bCs/>
                        <w:kern w:val="24"/>
                        <w:sz w:val="22"/>
                      </w:rPr>
                      <w:t>TPK – Technological Pedagogical Knowledge</w:t>
                    </w:r>
                    <w:r>
                      <w:rPr>
                        <w:kern w:val="24"/>
                        <w:sz w:val="22"/>
                      </w:rPr>
                      <w:t>:</w:t>
                    </w:r>
                  </w:p>
                  <w:p w:rsidR="003C1B44" w:rsidRDefault="003C1B44" w:rsidP="00097334">
                    <w:pPr>
                      <w:pStyle w:val="NormalWeb"/>
                      <w:keepLines/>
                      <w:spacing w:before="0" w:beforeAutospacing="0" w:after="0" w:afterAutospacing="0"/>
                      <w:ind w:left="142" w:right="-1616"/>
                      <w:rPr>
                        <w:sz w:val="22"/>
                        <w:rtl/>
                      </w:rPr>
                    </w:pPr>
                    <w:r>
                      <w:rPr>
                        <w:i/>
                        <w:iCs/>
                        <w:kern w:val="24"/>
                        <w:sz w:val="22"/>
                      </w:rPr>
                      <w:t>Teaching Medicine via Forums</w:t>
                    </w:r>
                  </w:p>
                  <w:p w:rsidR="003C1B44" w:rsidRDefault="003C1B44" w:rsidP="00097334">
                    <w:pPr>
                      <w:pStyle w:val="NormalWeb"/>
                      <w:keepLines/>
                      <w:spacing w:before="0" w:beforeAutospacing="0" w:after="0" w:afterAutospacing="0"/>
                      <w:ind w:left="142" w:right="-1616"/>
                      <w:rPr>
                        <w:sz w:val="22"/>
                        <w:rtl/>
                      </w:rPr>
                    </w:pPr>
                    <w:r>
                      <w:rPr>
                        <w:b/>
                        <w:bCs/>
                        <w:kern w:val="24"/>
                        <w:sz w:val="22"/>
                      </w:rPr>
                      <w:t>PCK – Pedagogical Content Knowledge</w:t>
                    </w:r>
                    <w:r>
                      <w:rPr>
                        <w:kern w:val="24"/>
                        <w:sz w:val="22"/>
                      </w:rPr>
                      <w:t xml:space="preserve">: </w:t>
                    </w:r>
                  </w:p>
                  <w:p w:rsidR="003C1B44" w:rsidRDefault="003C1B44" w:rsidP="00097334">
                    <w:pPr>
                      <w:pStyle w:val="NormalWeb"/>
                      <w:keepLines/>
                      <w:spacing w:before="0" w:beforeAutospacing="0" w:after="0" w:afterAutospacing="0"/>
                      <w:ind w:left="142" w:right="-1616"/>
                      <w:rPr>
                        <w:sz w:val="22"/>
                        <w:rtl/>
                      </w:rPr>
                    </w:pPr>
                    <w:r>
                      <w:rPr>
                        <w:i/>
                        <w:iCs/>
                        <w:kern w:val="24"/>
                        <w:sz w:val="22"/>
                      </w:rPr>
                      <w:t>Hands-on Experiences in Teaching Medicine in Small Groups</w:t>
                    </w:r>
                  </w:p>
                  <w:p w:rsidR="003C1B44" w:rsidRDefault="003C1B44" w:rsidP="00097334">
                    <w:pPr>
                      <w:pStyle w:val="NormalWeb"/>
                      <w:keepLines/>
                      <w:spacing w:before="0" w:beforeAutospacing="0" w:after="0" w:afterAutospacing="0"/>
                      <w:ind w:left="142" w:right="-1616"/>
                      <w:rPr>
                        <w:sz w:val="22"/>
                        <w:rtl/>
                      </w:rPr>
                    </w:pPr>
                    <w:r>
                      <w:rPr>
                        <w:b/>
                        <w:bCs/>
                        <w:kern w:val="24"/>
                        <w:sz w:val="22"/>
                      </w:rPr>
                      <w:t>AK – Assessment Knowledge</w:t>
                    </w:r>
                    <w:r>
                      <w:rPr>
                        <w:kern w:val="24"/>
                        <w:sz w:val="22"/>
                      </w:rPr>
                      <w:t xml:space="preserve">: </w:t>
                    </w:r>
                  </w:p>
                  <w:p w:rsidR="003C1B44" w:rsidRDefault="003C1B44" w:rsidP="00097334">
                    <w:pPr>
                      <w:pStyle w:val="NormalWeb"/>
                      <w:keepLines/>
                      <w:spacing w:before="0" w:beforeAutospacing="0" w:after="0" w:afterAutospacing="0"/>
                      <w:ind w:left="142" w:right="-1616"/>
                      <w:rPr>
                        <w:sz w:val="22"/>
                        <w:rtl/>
                      </w:rPr>
                    </w:pPr>
                    <w:r>
                      <w:rPr>
                        <w:i/>
                        <w:iCs/>
                        <w:kern w:val="24"/>
                        <w:sz w:val="22"/>
                      </w:rPr>
                      <w:t xml:space="preserve">Composing Test Items, Conducting Self-assessment </w:t>
                    </w:r>
                  </w:p>
                  <w:p w:rsidR="003C1B44" w:rsidRDefault="003C1B44" w:rsidP="00097334">
                    <w:pPr>
                      <w:pStyle w:val="NormalWeb"/>
                      <w:keepLines/>
                      <w:spacing w:before="0" w:beforeAutospacing="0" w:after="0" w:afterAutospacing="0"/>
                      <w:ind w:left="142" w:right="-1616"/>
                      <w:rPr>
                        <w:sz w:val="22"/>
                        <w:rtl/>
                      </w:rPr>
                    </w:pPr>
                    <w:r>
                      <w:rPr>
                        <w:i/>
                        <w:iCs/>
                        <w:kern w:val="24"/>
                        <w:sz w:val="22"/>
                      </w:rPr>
                      <w:t>&amp; Analyzing Forum Content</w:t>
                    </w:r>
                  </w:p>
                  <w:p w:rsidR="003C1B44" w:rsidRDefault="003C1B44" w:rsidP="00097334">
                    <w:pPr>
                      <w:pStyle w:val="NormalWeb"/>
                      <w:keepLines/>
                      <w:spacing w:before="0" w:beforeAutospacing="0" w:after="0" w:afterAutospacing="0"/>
                      <w:ind w:left="142" w:right="-1616"/>
                      <w:rPr>
                        <w:sz w:val="22"/>
                        <w:rtl/>
                      </w:rPr>
                    </w:pPr>
                    <w:r>
                      <w:rPr>
                        <w:b/>
                        <w:bCs/>
                        <w:kern w:val="24"/>
                        <w:sz w:val="22"/>
                      </w:rPr>
                      <w:t>TPACK – Technological Pedagogical and Content Knowledge</w:t>
                    </w:r>
                    <w:r>
                      <w:rPr>
                        <w:kern w:val="24"/>
                        <w:sz w:val="22"/>
                      </w:rPr>
                      <w:t>:</w:t>
                    </w:r>
                  </w:p>
                  <w:p w:rsidR="003C1B44" w:rsidRDefault="003C1B44" w:rsidP="00097334">
                    <w:pPr>
                      <w:pStyle w:val="NormalWeb"/>
                      <w:keepLines/>
                      <w:spacing w:before="0" w:beforeAutospacing="0" w:after="0" w:afterAutospacing="0"/>
                      <w:ind w:left="142" w:right="-1616"/>
                      <w:rPr>
                        <w:i/>
                        <w:iCs/>
                        <w:kern w:val="24"/>
                        <w:sz w:val="22"/>
                      </w:rPr>
                    </w:pPr>
                    <w:r>
                      <w:rPr>
                        <w:i/>
                        <w:iCs/>
                        <w:kern w:val="24"/>
                        <w:sz w:val="22"/>
                      </w:rPr>
                      <w:t>Learning &amp; Mentoring Medical Education via Forums</w:t>
                    </w:r>
                  </w:p>
                  <w:p w:rsidR="003C1B44" w:rsidRDefault="003C1B44" w:rsidP="00097334">
                    <w:pPr>
                      <w:pStyle w:val="NormalWeb"/>
                      <w:keepLines/>
                      <w:spacing w:before="0" w:beforeAutospacing="0" w:after="0" w:afterAutospacing="0"/>
                      <w:ind w:left="142" w:right="-1616"/>
                      <w:rPr>
                        <w:b/>
                        <w:bCs/>
                        <w:kern w:val="24"/>
                        <w:sz w:val="22"/>
                      </w:rPr>
                    </w:pPr>
                    <w:r>
                      <w:rPr>
                        <w:b/>
                        <w:bCs/>
                        <w:kern w:val="24"/>
                        <w:sz w:val="22"/>
                      </w:rPr>
                      <w:t>DTLAR – Diagnostic Tool for Learning, Assessment, and Research</w:t>
                    </w:r>
                    <w:r>
                      <w:rPr>
                        <w:kern w:val="24"/>
                        <w:sz w:val="22"/>
                      </w:rPr>
                      <w:t>:</w:t>
                    </w:r>
                  </w:p>
                  <w:p w:rsidR="003C1B44" w:rsidRDefault="003C1B44" w:rsidP="00097334">
                    <w:pPr>
                      <w:pStyle w:val="NormalWeb"/>
                      <w:keepLines/>
                      <w:spacing w:before="0" w:beforeAutospacing="0" w:after="0" w:afterAutospacing="0"/>
                      <w:ind w:left="142" w:right="-1616"/>
                      <w:rPr>
                        <w:i/>
                        <w:iCs/>
                        <w:kern w:val="24"/>
                        <w:sz w:val="22"/>
                      </w:rPr>
                    </w:pPr>
                    <w:r>
                      <w:rPr>
                        <w:i/>
                        <w:iCs/>
                        <w:kern w:val="24"/>
                        <w:sz w:val="22"/>
                      </w:rPr>
                      <w:t xml:space="preserve">A Methodology for Analyzing the Quality of Medical </w:t>
                    </w:r>
                    <w:proofErr w:type="spellStart"/>
                    <w:r>
                      <w:rPr>
                        <w:i/>
                        <w:iCs/>
                        <w:kern w:val="24"/>
                        <w:sz w:val="22"/>
                      </w:rPr>
                      <w:t>CoI</w:t>
                    </w:r>
                    <w:proofErr w:type="spellEnd"/>
                  </w:p>
                </w:txbxContent>
              </v:textbox>
            </v:shape>
            <w10:wrap type="none"/>
            <w10:anchorlock/>
          </v:group>
        </w:pict>
      </w:r>
    </w:p>
    <w:p w:rsidR="00097334" w:rsidRDefault="00097334" w:rsidP="00097334">
      <w:pPr>
        <w:keepLines/>
        <w:tabs>
          <w:tab w:val="right" w:pos="8640"/>
        </w:tabs>
        <w:spacing w:after="240"/>
        <w:jc w:val="center"/>
        <w:rPr>
          <w:b/>
          <w:bCs/>
        </w:rPr>
      </w:pPr>
      <w:r>
        <w:rPr>
          <w:b/>
          <w:bCs/>
        </w:rPr>
        <w:t>Figure 1: DTLAR incorporating the TPACK and Assessment Knowledge Model</w:t>
      </w:r>
      <w:r>
        <w:rPr>
          <w:b/>
          <w:bCs/>
        </w:rPr>
        <w:fldChar w:fldCharType="begin"/>
      </w:r>
      <w:r>
        <w:rPr>
          <w:b/>
          <w:bCs/>
        </w:rPr>
        <w:instrText>ADDIN RW.CITE{{338 Mishra, Punya 2008}}</w:instrText>
      </w:r>
      <w:r>
        <w:rPr>
          <w:b/>
          <w:bCs/>
        </w:rPr>
        <w:fldChar w:fldCharType="end"/>
      </w:r>
    </w:p>
    <w:p w:rsidR="009669D2" w:rsidRDefault="009669D2" w:rsidP="009669D2">
      <w:r>
        <w:t xml:space="preserve">Assessment Knowledge reflects yet another important aspect of applying </w:t>
      </w:r>
      <w:proofErr w:type="spellStart"/>
      <w:r>
        <w:t>CoI</w:t>
      </w:r>
      <w:proofErr w:type="spellEnd"/>
      <w:r>
        <w:t>, focusing on knowledge and understanding teachers have about assessment, its value, types, and evaluating st</w:t>
      </w:r>
      <w:r>
        <w:t>u</w:t>
      </w:r>
      <w:r>
        <w:t>dents’ learning outcomes (</w:t>
      </w:r>
      <w:proofErr w:type="spellStart"/>
      <w:r>
        <w:t>Abell</w:t>
      </w:r>
      <w:proofErr w:type="spellEnd"/>
      <w:r>
        <w:t xml:space="preserve">, 2007; Dori &amp; </w:t>
      </w:r>
      <w:proofErr w:type="spellStart"/>
      <w:r>
        <w:t>Avargil</w:t>
      </w:r>
      <w:proofErr w:type="spellEnd"/>
      <w:r>
        <w:t xml:space="preserve">, 2015; Magnusson, </w:t>
      </w:r>
      <w:proofErr w:type="spellStart"/>
      <w:r>
        <w:t>Krajcik</w:t>
      </w:r>
      <w:proofErr w:type="spellEnd"/>
      <w:r>
        <w:t xml:space="preserve">, &amp; </w:t>
      </w:r>
      <w:proofErr w:type="spellStart"/>
      <w:r>
        <w:t>Borko</w:t>
      </w:r>
      <w:proofErr w:type="spellEnd"/>
      <w:r>
        <w:t>, 1999). It also refers to teachers’ ability to design and apply assignments suitable for assessing students’ knowledge and skills (</w:t>
      </w:r>
      <w:proofErr w:type="spellStart"/>
      <w:r>
        <w:t>Avargil</w:t>
      </w:r>
      <w:proofErr w:type="spellEnd"/>
      <w:r>
        <w:t xml:space="preserve">, </w:t>
      </w:r>
      <w:proofErr w:type="spellStart"/>
      <w:r>
        <w:t>Herscovitz</w:t>
      </w:r>
      <w:proofErr w:type="spellEnd"/>
      <w:r>
        <w:t xml:space="preserve">, &amp; Dori, 2012). </w:t>
      </w:r>
    </w:p>
    <w:p w:rsidR="009669D2" w:rsidRDefault="009669D2" w:rsidP="009669D2">
      <w:r>
        <w:rPr>
          <w:noProof/>
        </w:rPr>
        <w:t xml:space="preserve">In our methodology (described below), we combined the TPACK components with </w:t>
      </w:r>
      <w:r>
        <w:t>Assessment Knowledge</w:t>
      </w:r>
      <w:r>
        <w:rPr>
          <w:noProof/>
        </w:rPr>
        <w:t xml:space="preserve"> and added an in-depth analysis of </w:t>
      </w:r>
      <w:r>
        <w:t xml:space="preserve">forum use. By this integrative approach, we hereby offer a novel tool, the Diagnostic Tool for Learning, Assessment, and Research (DTLAR; See Figure 1), as a method for guiding </w:t>
      </w:r>
      <w:proofErr w:type="spellStart"/>
      <w:r>
        <w:t>CoI</w:t>
      </w:r>
      <w:proofErr w:type="spellEnd"/>
      <w:r>
        <w:t xml:space="preserve"> design and analyzing educators’ willingness to use it in their teaching.</w:t>
      </w:r>
    </w:p>
    <w:p w:rsidR="009669D2" w:rsidRDefault="009669D2" w:rsidP="009669D2">
      <w:pPr>
        <w:pStyle w:val="Heading2"/>
      </w:pPr>
      <w:r>
        <w:t xml:space="preserve">DTLAR - A Diagnostic Tool for Learning, Assessment, and Research </w:t>
      </w:r>
    </w:p>
    <w:p w:rsidR="009669D2" w:rsidRDefault="009669D2" w:rsidP="00352704">
      <w:pPr>
        <w:rPr>
          <w:noProof/>
        </w:rPr>
      </w:pPr>
      <w:r>
        <w:t>The DTLAR</w:t>
      </w:r>
      <w:r>
        <w:rPr>
          <w:noProof/>
        </w:rPr>
        <w:t xml:space="preserve"> is a methodology for in-depth analysis of the multi-facet acceptance of CoI as a learning and teaching methodology (see Figure 1). </w:t>
      </w:r>
      <w:r>
        <w:t xml:space="preserve">In the examined faculty development program, </w:t>
      </w:r>
      <w:proofErr w:type="spellStart"/>
      <w:r>
        <w:t>CoI</w:t>
      </w:r>
      <w:proofErr w:type="spellEnd"/>
      <w:r>
        <w:t xml:space="preserve"> served three purposes: (1) knowledge acquisition, (2) hands-on experience of educators with </w:t>
      </w:r>
      <w:proofErr w:type="spellStart"/>
      <w:proofErr w:type="gramStart"/>
      <w:r>
        <w:t>CoIs</w:t>
      </w:r>
      <w:proofErr w:type="spellEnd"/>
      <w:proofErr w:type="gramEnd"/>
      <w:r>
        <w:t xml:space="preserve"> as a learning and teaching tool, and (3) a basis for assessing their readiness to incorporate </w:t>
      </w:r>
      <w:proofErr w:type="spellStart"/>
      <w:r>
        <w:t>CoI</w:t>
      </w:r>
      <w:proofErr w:type="spellEnd"/>
      <w:r>
        <w:t xml:space="preserve"> into their teaching. </w:t>
      </w:r>
      <w:r>
        <w:rPr>
          <w:noProof/>
        </w:rPr>
        <w:t xml:space="preserve">DTLAR’s core is an in-depth </w:t>
      </w:r>
      <w:r>
        <w:t>analysis of discourse content and participants’ r</w:t>
      </w:r>
      <w:r>
        <w:t>e</w:t>
      </w:r>
      <w:r>
        <w:t xml:space="preserve">flections on their experience within a </w:t>
      </w:r>
      <w:proofErr w:type="spellStart"/>
      <w:r>
        <w:t>CoI</w:t>
      </w:r>
      <w:proofErr w:type="spellEnd"/>
      <w:r>
        <w:t>. The tool was designed to serve learners for monitoring their own performance; instructors for gauging their students’ progress; and, researchers for calibra</w:t>
      </w:r>
      <w:r>
        <w:t>t</w:t>
      </w:r>
      <w:r>
        <w:t>ing and comparing learning outcomes of various student groups and programs. T</w:t>
      </w:r>
      <w:r>
        <w:rPr>
          <w:noProof/>
        </w:rPr>
        <w:t xml:space="preserve">he DTLAR was designed as a generalizable methodology for adult education programs aimed at promoting online </w:t>
      </w:r>
      <w:r>
        <w:rPr>
          <w:noProof/>
        </w:rPr>
        <w:lastRenderedPageBreak/>
        <w:t xml:space="preserve">forums for learning and teaching. In this study, we demonstrate DTLAR by applying it the for the analysis of CoI acceptance among medical educators. </w:t>
      </w:r>
    </w:p>
    <w:p w:rsidR="00402986" w:rsidRDefault="00402986" w:rsidP="00402986">
      <w:r>
        <w:t xml:space="preserve">Employing the DTLAR comprises the following stages: (1) Data collection from </w:t>
      </w:r>
      <w:proofErr w:type="spellStart"/>
      <w:r>
        <w:t>CoIs</w:t>
      </w:r>
      <w:proofErr w:type="spellEnd"/>
      <w:r>
        <w:t xml:space="preserve"> discourse and reflection after each </w:t>
      </w:r>
      <w:proofErr w:type="spellStart"/>
      <w:r>
        <w:t>CoI</w:t>
      </w:r>
      <w:proofErr w:type="spellEnd"/>
      <w:r>
        <w:t xml:space="preserve">; (2) Item extraction; (3) Categorization and sub-categorization of statements based on grounded theory and relevant literature; (4) Expert validation of the categorization; (5) Item categorization by attitude; and (6) Comparison between pairs of information sources: pairs of </w:t>
      </w:r>
      <w:proofErr w:type="spellStart"/>
      <w:r>
        <w:t>CoIs</w:t>
      </w:r>
      <w:proofErr w:type="spellEnd"/>
      <w:r>
        <w:t xml:space="preserve"> (e.g., first vs. last in the program) and </w:t>
      </w:r>
      <w:proofErr w:type="spellStart"/>
      <w:r>
        <w:t>CoI</w:t>
      </w:r>
      <w:proofErr w:type="spellEnd"/>
      <w:r>
        <w:t xml:space="preserve"> discourse versus reflection.  </w:t>
      </w:r>
    </w:p>
    <w:p w:rsidR="006D50FE" w:rsidRDefault="00402986" w:rsidP="000A2E75">
      <w:r>
        <w:t>In view of the importance of instructors</w:t>
      </w:r>
      <w:r w:rsidR="00045CD7">
        <w:t>’</w:t>
      </w:r>
      <w:r>
        <w:t xml:space="preserve"> positive attitude towards using novel educational technol</w:t>
      </w:r>
      <w:r>
        <w:t>o</w:t>
      </w:r>
      <w:r>
        <w:t>gies (</w:t>
      </w:r>
      <w:r w:rsidRPr="00B96150">
        <w:t>Huang</w:t>
      </w:r>
      <w:r>
        <w:t xml:space="preserve"> &amp; </w:t>
      </w:r>
      <w:proofErr w:type="spellStart"/>
      <w:r>
        <w:t>Liaw</w:t>
      </w:r>
      <w:proofErr w:type="spellEnd"/>
      <w:r>
        <w:t xml:space="preserve">, 2005), we utilized the opportunities </w:t>
      </w:r>
      <w:proofErr w:type="spellStart"/>
      <w:proofErr w:type="gramStart"/>
      <w:r>
        <w:t>CoIs</w:t>
      </w:r>
      <w:proofErr w:type="spellEnd"/>
      <w:proofErr w:type="gramEnd"/>
      <w:r>
        <w:t xml:space="preserve"> provide for online tracking of partic</w:t>
      </w:r>
      <w:r>
        <w:t>i</w:t>
      </w:r>
      <w:r>
        <w:t>pants</w:t>
      </w:r>
      <w:r w:rsidR="00045CD7">
        <w:t>’</w:t>
      </w:r>
      <w:r>
        <w:t xml:space="preserve"> acceptance of this learning and teaching tool. Thus, we sought to expose participants</w:t>
      </w:r>
      <w:r w:rsidR="00045CD7">
        <w:t>’</w:t>
      </w:r>
      <w:r>
        <w:t xml:space="preserve"> attitudes regarding </w:t>
      </w:r>
      <w:proofErr w:type="spellStart"/>
      <w:r>
        <w:t>CoI</w:t>
      </w:r>
      <w:proofErr w:type="spellEnd"/>
      <w:r>
        <w:t>, incorporating both constructivist and interpretative methodologies defined in the li</w:t>
      </w:r>
      <w:r>
        <w:t>t</w:t>
      </w:r>
      <w:r>
        <w:t xml:space="preserve">erature as means of gauging acceptance of instructional methods </w:t>
      </w:r>
      <w:r>
        <w:fldChar w:fldCharType="begin"/>
      </w:r>
      <w:r>
        <w:instrText>ADDIN RW.CITE{{494 Norman Kent Denzin 2005}}</w:instrText>
      </w:r>
      <w:r>
        <w:fldChar w:fldCharType="separate"/>
      </w:r>
      <w:r>
        <w:t xml:space="preserve">(Denzin &amp; Lincoln, 2005). </w:t>
      </w:r>
      <w:r>
        <w:fldChar w:fldCharType="end"/>
      </w:r>
      <w:r>
        <w:t xml:space="preserve">Prior appraisals of training have focused on global satisfaction through reflection upon several experiences </w:t>
      </w:r>
      <w:r>
        <w:fldChar w:fldCharType="begin"/>
      </w:r>
      <w:r>
        <w:instrText>ADDIN RW.CITE{{240 Álvarez, Ibis 2009; 234 Rienties, Bart 2012; 233 Rienties, Bart 2013}}</w:instrText>
      </w:r>
      <w:r>
        <w:fldChar w:fldCharType="separate"/>
      </w:r>
      <w:r>
        <w:t xml:space="preserve">(e.g., Alvarez, Guasch, &amp; Espasa, 2009; Rienties, Brouwer, &amp; Lygo-Baker, 2013). </w:t>
      </w:r>
      <w:r>
        <w:fldChar w:fldCharType="end"/>
      </w:r>
      <w:r>
        <w:t xml:space="preserve"> In this study, we introduce two variations to traditional </w:t>
      </w:r>
      <w:proofErr w:type="spellStart"/>
      <w:proofErr w:type="gramStart"/>
      <w:r>
        <w:t>CoIs</w:t>
      </w:r>
      <w:proofErr w:type="spellEnd"/>
      <w:proofErr w:type="gramEnd"/>
      <w:r>
        <w:t>. First, in order to obtain an authentic picture of partic</w:t>
      </w:r>
      <w:r>
        <w:t>i</w:t>
      </w:r>
      <w:r>
        <w:t>pants</w:t>
      </w:r>
      <w:r w:rsidR="00045CD7">
        <w:t>’</w:t>
      </w:r>
      <w:r>
        <w:t xml:space="preserve"> experience online, we examined their attitudes as they emerged, directly from </w:t>
      </w:r>
      <w:proofErr w:type="spellStart"/>
      <w:proofErr w:type="gramStart"/>
      <w:r>
        <w:t>CoIs</w:t>
      </w:r>
      <w:proofErr w:type="gramEnd"/>
      <w:r w:rsidR="00045CD7">
        <w:t>’</w:t>
      </w:r>
      <w:proofErr w:type="spellEnd"/>
      <w:r>
        <w:t xml:space="preserve"> discourse while discussing subject matter topics. Second, we collected reflections on action</w:t>
      </w:r>
      <w:r w:rsidRPr="006F6C2C">
        <w:t xml:space="preserve"> </w:t>
      </w:r>
      <w:r>
        <w:t xml:space="preserve">after completing each </w:t>
      </w:r>
      <w:proofErr w:type="spellStart"/>
      <w:r>
        <w:t>CoI</w:t>
      </w:r>
      <w:proofErr w:type="spellEnd"/>
      <w:r>
        <w:t xml:space="preserve">, regarding the experience while participating in the </w:t>
      </w:r>
      <w:proofErr w:type="spellStart"/>
      <w:r>
        <w:t>CoI</w:t>
      </w:r>
      <w:proofErr w:type="spellEnd"/>
      <w:r>
        <w:t>. The reflections were used to i</w:t>
      </w:r>
      <w:r>
        <w:t>n</w:t>
      </w:r>
      <w:r>
        <w:t>crease the participants</w:t>
      </w:r>
      <w:r w:rsidR="00045CD7">
        <w:t>’</w:t>
      </w:r>
      <w:r>
        <w:t xml:space="preserve"> awareness towards the qualities of the learning tool by re-evaluating their e</w:t>
      </w:r>
      <w:r>
        <w:t>x</w:t>
      </w:r>
      <w:r>
        <w:t xml:space="preserve">periences </w:t>
      </w:r>
      <w:r>
        <w:fldChar w:fldCharType="begin"/>
      </w:r>
      <w:r>
        <w:instrText>ADDIN RW.CITE{{373 Schön, Donald 1988}}</w:instrText>
      </w:r>
      <w:r>
        <w:fldChar w:fldCharType="separate"/>
      </w:r>
      <w:r>
        <w:t>(Schön, 1988)</w:t>
      </w:r>
      <w:r>
        <w:fldChar w:fldCharType="end"/>
      </w:r>
      <w:r>
        <w:t>. One of our objectives in this faculty development program was to allow participants to translate and transfer theoretical concepts into practice and encourage critical thin</w:t>
      </w:r>
      <w:r>
        <w:t>k</w:t>
      </w:r>
      <w:r>
        <w:t xml:space="preserve">ing, above and beyond experience alone </w:t>
      </w:r>
      <w:r>
        <w:fldChar w:fldCharType="begin"/>
      </w:r>
      <w:r>
        <w:instrText>ADDIN RW.CITE{{332 Angeli, Charoula 2009; 238 Angeli, Charoula 2008}}</w:instrText>
      </w:r>
      <w:r>
        <w:fldChar w:fldCharType="separate"/>
      </w:r>
      <w:r>
        <w:t>(Angeli &amp; Valanides, 2009;</w:t>
      </w:r>
      <w:r>
        <w:fldChar w:fldCharType="end"/>
      </w:r>
      <w:r>
        <w:t xml:space="preserve"> </w:t>
      </w:r>
      <w:r>
        <w:fldChar w:fldCharType="begin"/>
      </w:r>
      <w:r>
        <w:instrText>ADDIN RW.CITE{{377 Aronson, Louise 2011}}</w:instrText>
      </w:r>
      <w:r>
        <w:fldChar w:fldCharType="separate"/>
      </w:r>
      <w:r>
        <w:t>Aronson, 2011</w:t>
      </w:r>
      <w:r>
        <w:fldChar w:fldCharType="end"/>
      </w:r>
      <w:r>
        <w:fldChar w:fldCharType="begin"/>
      </w:r>
      <w:r>
        <w:instrText>ADDIN RW.CITE{{388 Kramarski, Bracha 2010}}</w:instrText>
      </w:r>
      <w:r>
        <w:fldChar w:fldCharType="separate"/>
      </w:r>
      <w:r>
        <w:t xml:space="preserve">; Kramarski &amp; Michalsky, 2010; </w:t>
      </w:r>
      <w:r>
        <w:fldChar w:fldCharType="end"/>
      </w:r>
      <w:r>
        <w:fldChar w:fldCharType="begin"/>
      </w:r>
      <w:r>
        <w:instrText>ADDIN RW.CITE{{102 Sandars,J. 2009}}</w:instrText>
      </w:r>
      <w:r>
        <w:fldChar w:fldCharType="separate"/>
      </w:r>
      <w:r>
        <w:t>Sandars, 2009)</w:t>
      </w:r>
      <w:r>
        <w:fldChar w:fldCharType="end"/>
      </w:r>
      <w:r>
        <w:t>. The picture of participants</w:t>
      </w:r>
      <w:r w:rsidR="00045CD7">
        <w:t>’</w:t>
      </w:r>
      <w:r>
        <w:t xml:space="preserve"> attitudes </w:t>
      </w:r>
      <w:r w:rsidR="00796AAB">
        <w:t>that</w:t>
      </w:r>
      <w:r>
        <w:t xml:space="preserve"> was revealed from both online </w:t>
      </w:r>
      <w:r w:rsidR="007317BE">
        <w:t>(</w:t>
      </w:r>
      <w:proofErr w:type="spellStart"/>
      <w:r w:rsidR="007317BE">
        <w:t>CoI</w:t>
      </w:r>
      <w:proofErr w:type="spellEnd"/>
      <w:r w:rsidR="007317BE">
        <w:t xml:space="preserve"> discourse) and in retrospect (reflections) </w:t>
      </w:r>
      <w:r w:rsidR="000A2E75">
        <w:t>is</w:t>
      </w:r>
      <w:r w:rsidR="007317BE">
        <w:t xml:space="preserve"> offered as a diagnostic tool for assessing the acceptance of technological tools for teaching. </w:t>
      </w:r>
    </w:p>
    <w:p w:rsidR="000A2E75" w:rsidRDefault="000A2E75" w:rsidP="000A2E75">
      <w:r>
        <w:t xml:space="preserve">The faculty development program also presented an opportunity for providing participants with hands-on experience in facilitating </w:t>
      </w:r>
      <w:proofErr w:type="spellStart"/>
      <w:proofErr w:type="gramStart"/>
      <w:r>
        <w:t>CoIs</w:t>
      </w:r>
      <w:proofErr w:type="spellEnd"/>
      <w:proofErr w:type="gramEnd"/>
      <w:r>
        <w:t xml:space="preserve">. We expected that experiencing the facilitation of a </w:t>
      </w:r>
      <w:proofErr w:type="spellStart"/>
      <w:r>
        <w:t>CoI</w:t>
      </w:r>
      <w:proofErr w:type="spellEnd"/>
      <w:r>
        <w:t xml:space="preserve"> would increase awareness to the strengths and challenges involved in using this teaching method </w:t>
      </w:r>
      <w:r>
        <w:fldChar w:fldCharType="begin"/>
      </w:r>
      <w:r>
        <w:instrText>ADDIN RW.CITE{{453 Curran, Vernon R 2005}}</w:instrText>
      </w:r>
      <w:r>
        <w:fldChar w:fldCharType="separate"/>
      </w:r>
      <w:r>
        <w:t xml:space="preserve">(Curran &amp; Fleet, 2005). </w:t>
      </w:r>
      <w:r>
        <w:fldChar w:fldCharType="end"/>
      </w:r>
      <w:r>
        <w:t>Previous studies found that the quality and quantity of interactions between participants and forum facilitators affected perceptions of effectiveness regarding online learning (</w:t>
      </w:r>
      <w:r>
        <w:fldChar w:fldCharType="begin"/>
      </w:r>
      <w:r>
        <w:instrText>ADDIN RW.CITE{{244 Cook, David A 2010}}</w:instrText>
      </w:r>
      <w:r>
        <w:fldChar w:fldCharType="separate"/>
      </w:r>
      <w:r>
        <w:t xml:space="preserve">Cook et al., 2010; </w:t>
      </w:r>
      <w:r>
        <w:fldChar w:fldCharType="begin"/>
      </w:r>
      <w:r>
        <w:instrText>ADDIN RW.CITE{{151 Sargeant, J. 2006}}</w:instrText>
      </w:r>
      <w:r>
        <w:fldChar w:fldCharType="separate"/>
      </w:r>
      <w:r>
        <w:t>Sargeant et al., 2006</w:t>
      </w:r>
      <w:r>
        <w:fldChar w:fldCharType="end"/>
      </w:r>
      <w:r>
        <w:t>).</w:t>
      </w:r>
      <w:r>
        <w:fldChar w:fldCharType="end"/>
      </w:r>
      <w:r>
        <w:t xml:space="preserve"> Thus, we analyzed the effect of </w:t>
      </w:r>
      <w:proofErr w:type="spellStart"/>
      <w:r>
        <w:t>CoI</w:t>
      </w:r>
      <w:proofErr w:type="spellEnd"/>
      <w:r>
        <w:t xml:space="preserve"> facilitator type, instru</w:t>
      </w:r>
      <w:r>
        <w:t>c</w:t>
      </w:r>
      <w:r>
        <w:t>tor versus peer, on attitudes of other participants.</w:t>
      </w:r>
    </w:p>
    <w:p w:rsidR="006D50FE" w:rsidRDefault="007317BE" w:rsidP="00097334">
      <w:pPr>
        <w:rPr>
          <w:b/>
          <w:bCs/>
        </w:rPr>
      </w:pPr>
      <w:r>
        <w:t xml:space="preserve">By contrasting </w:t>
      </w:r>
      <w:proofErr w:type="spellStart"/>
      <w:r>
        <w:t>CoI</w:t>
      </w:r>
      <w:proofErr w:type="spellEnd"/>
      <w:r>
        <w:t xml:space="preserve"> </w:t>
      </w:r>
      <w:r w:rsidR="004E4625">
        <w:t>discourse</w:t>
      </w:r>
      <w:r>
        <w:t xml:space="preserve"> and reflection, we examined the added diagnostic value of exposing the attitudes of the medical educators that came from </w:t>
      </w:r>
      <w:r w:rsidR="0055221A">
        <w:t>discourse and reflection</w:t>
      </w:r>
      <w:r>
        <w:t>. We examined the partic</w:t>
      </w:r>
      <w:r>
        <w:t>i</w:t>
      </w:r>
      <w:r>
        <w:t>pants</w:t>
      </w:r>
      <w:r w:rsidR="00045CD7">
        <w:t>’</w:t>
      </w:r>
      <w:r>
        <w:t xml:space="preserve"> attitudes by dividing the statements provided during and after the forums into three types: positive, negative, and ambivalent. In order to delve deeper into the diversity of the attitudes, we fu</w:t>
      </w:r>
      <w:r>
        <w:t>r</w:t>
      </w:r>
      <w:r>
        <w:t>ther divided the statements by categories that emerged from the literature as well as from the di</w:t>
      </w:r>
      <w:r>
        <w:t>s</w:t>
      </w:r>
      <w:r>
        <w:t>course. We hypothesized that the attitudes of each participant are diverse. Combining the two info</w:t>
      </w:r>
      <w:r>
        <w:t>r</w:t>
      </w:r>
      <w:r>
        <w:t>mation sources (</w:t>
      </w:r>
      <w:proofErr w:type="spellStart"/>
      <w:r>
        <w:t>CoI</w:t>
      </w:r>
      <w:proofErr w:type="spellEnd"/>
      <w:r>
        <w:t xml:space="preserve"> discourse and reflection on </w:t>
      </w:r>
      <w:r w:rsidR="00AB5FD4">
        <w:t xml:space="preserve">the </w:t>
      </w:r>
      <w:r>
        <w:t>action</w:t>
      </w:r>
      <w:r w:rsidR="00AB5FD4">
        <w:t xml:space="preserve"> of </w:t>
      </w:r>
      <w:proofErr w:type="spellStart"/>
      <w:r w:rsidR="00AB5FD4">
        <w:t>CoI</w:t>
      </w:r>
      <w:proofErr w:type="spellEnd"/>
      <w:r w:rsidR="00AB5FD4">
        <w:t xml:space="preserve"> participation</w:t>
      </w:r>
      <w:r>
        <w:t xml:space="preserve">) while maintaining a detailed picture within each category allowed complex mirroring of </w:t>
      </w:r>
      <w:r w:rsidR="00C32E3A">
        <w:t>participants</w:t>
      </w:r>
      <w:r w:rsidR="00796AAB">
        <w:t>’</w:t>
      </w:r>
      <w:r>
        <w:t xml:space="preserve"> attitudes. In partic</w:t>
      </w:r>
      <w:r>
        <w:t>u</w:t>
      </w:r>
      <w:r>
        <w:t xml:space="preserve">lar, we hypothesized that attitudes expressed online would differ from those expressed in retrospect. Furthermore, we examined the change in attitudes as participants gained experience with using </w:t>
      </w:r>
      <w:proofErr w:type="spellStart"/>
      <w:r>
        <w:t>CoI</w:t>
      </w:r>
      <w:proofErr w:type="spellEnd"/>
      <w:r>
        <w:t>, during the faculty development program. Beyond the global picture, at the group level, this within-participant analysis allowed drawing conclusions at the individual level, as a basis for personalized support.</w:t>
      </w:r>
      <w:r w:rsidR="00097334">
        <w:rPr>
          <w:b/>
          <w:bCs/>
        </w:rPr>
        <w:t xml:space="preserve"> </w:t>
      </w:r>
    </w:p>
    <w:p w:rsidR="006D50FE" w:rsidRDefault="007317BE">
      <w:pPr>
        <w:pStyle w:val="Heading1"/>
      </w:pPr>
      <w:r>
        <w:lastRenderedPageBreak/>
        <w:t>Method</w:t>
      </w:r>
    </w:p>
    <w:p w:rsidR="002C23D6" w:rsidRDefault="007317BE" w:rsidP="002C23D6">
      <w:pPr>
        <w:pStyle w:val="Heading2"/>
      </w:pPr>
      <w:r>
        <w:t xml:space="preserve">Study field </w:t>
      </w:r>
    </w:p>
    <w:p w:rsidR="006D50FE" w:rsidRDefault="007317BE" w:rsidP="00796AAB">
      <w:r>
        <w:t xml:space="preserve">The faculty development program at the </w:t>
      </w:r>
      <w:proofErr w:type="spellStart"/>
      <w:r>
        <w:t>Technion</w:t>
      </w:r>
      <w:r w:rsidR="00045CD7">
        <w:t>’</w:t>
      </w:r>
      <w:r>
        <w:t>s</w:t>
      </w:r>
      <w:proofErr w:type="spellEnd"/>
      <w:r>
        <w:t xml:space="preserve"> Faculty of Medicine aims at enhancing teaching and learning skills, assessment and evaluation skills, motivation and willingness for teaching, as well as at exposing participants to up-to-date teaching methodologies. The program includes eight face-to-face meetings </w:t>
      </w:r>
      <w:r w:rsidR="004D0796">
        <w:t>over the course of</w:t>
      </w:r>
      <w:r>
        <w:t xml:space="preserve"> an academic year. </w:t>
      </w:r>
      <w:proofErr w:type="spellStart"/>
      <w:r>
        <w:t>CoI</w:t>
      </w:r>
      <w:proofErr w:type="spellEnd"/>
      <w:r>
        <w:t xml:space="preserve"> interactions took place between the face-to-face meetings and focused on TPACK-related topics. The reported data was collected along two pr</w:t>
      </w:r>
      <w:r>
        <w:t>o</w:t>
      </w:r>
      <w:r>
        <w:t>gram cycles.</w:t>
      </w:r>
    </w:p>
    <w:p w:rsidR="002C23D6" w:rsidRDefault="007317BE" w:rsidP="00796AAB">
      <w:pPr>
        <w:pStyle w:val="Heading2"/>
      </w:pPr>
      <w:r w:rsidRPr="002C23D6">
        <w:t>Participants</w:t>
      </w:r>
    </w:p>
    <w:p w:rsidR="006D50FE" w:rsidRDefault="007317BE" w:rsidP="00796AAB">
      <w:r>
        <w:t>Two cohorts of twenty</w:t>
      </w:r>
      <w:r>
        <w:rPr>
          <w:i/>
          <w:iCs/>
        </w:rPr>
        <w:t xml:space="preserve"> </w:t>
      </w:r>
      <w:r>
        <w:t xml:space="preserve">clinical professionals (43% women, 57% men, Mean age = 42.1, </w:t>
      </w:r>
      <w:r>
        <w:rPr>
          <w:i/>
          <w:iCs/>
        </w:rPr>
        <w:t>SD</w:t>
      </w:r>
      <w:r>
        <w:t xml:space="preserve"> = 3.9) participated in the research during two consecutive academic years (one year for each cohort). All participants had at least two-year experience in teaching clinical courses. Table 1 provides more d</w:t>
      </w:r>
      <w:r>
        <w:t>e</w:t>
      </w:r>
      <w:r>
        <w:t>tailed information regarding participants</w:t>
      </w:r>
      <w:r w:rsidR="00045CD7">
        <w:t>’</w:t>
      </w:r>
      <w:r>
        <w:t xml:space="preserve"> seniority and experience. </w:t>
      </w:r>
    </w:p>
    <w:tbl>
      <w:tblPr>
        <w:tblW w:w="6691" w:type="dxa"/>
        <w:jc w:val="center"/>
        <w:tblLayout w:type="fixed"/>
        <w:tblCellMar>
          <w:left w:w="40" w:type="dxa"/>
          <w:right w:w="40" w:type="dxa"/>
        </w:tblCellMar>
        <w:tblLook w:val="0000" w:firstRow="0" w:lastRow="0" w:firstColumn="0" w:lastColumn="0" w:noHBand="0" w:noVBand="0"/>
      </w:tblPr>
      <w:tblGrid>
        <w:gridCol w:w="2595"/>
        <w:gridCol w:w="769"/>
        <w:gridCol w:w="770"/>
        <w:gridCol w:w="1342"/>
        <w:gridCol w:w="1215"/>
      </w:tblGrid>
      <w:tr w:rsidR="006D50FE">
        <w:trPr>
          <w:trHeight w:val="300"/>
          <w:jc w:val="center"/>
        </w:trPr>
        <w:tc>
          <w:tcPr>
            <w:tcW w:w="6691" w:type="dxa"/>
            <w:gridSpan w:val="5"/>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jc w:val="center"/>
              <w:rPr>
                <w:b/>
                <w:bCs/>
              </w:rPr>
            </w:pPr>
            <w:r>
              <w:rPr>
                <w:b/>
                <w:bCs/>
              </w:rPr>
              <w:t>Table 1: Participant</w:t>
            </w:r>
            <w:r w:rsidR="00045CD7">
              <w:rPr>
                <w:b/>
                <w:bCs/>
              </w:rPr>
              <w:t>’</w:t>
            </w:r>
            <w:r>
              <w:rPr>
                <w:b/>
                <w:bCs/>
              </w:rPr>
              <w:t>s demographic data</w:t>
            </w:r>
          </w:p>
        </w:tc>
      </w:tr>
      <w:tr w:rsidR="006D50FE">
        <w:trPr>
          <w:trHeight w:val="300"/>
          <w:jc w:val="center"/>
        </w:trPr>
        <w:tc>
          <w:tcPr>
            <w:tcW w:w="2595"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rPr>
            </w:pPr>
            <w:r>
              <w:rPr>
                <w:b/>
                <w:snapToGrid w:val="0"/>
                <w:sz w:val="20"/>
              </w:rPr>
              <w:t xml:space="preserve">Seniority (years)           </w:t>
            </w:r>
          </w:p>
        </w:tc>
        <w:tc>
          <w:tcPr>
            <w:tcW w:w="769"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highlight w:val="lightGray"/>
              </w:rPr>
            </w:pPr>
            <w:r>
              <w:rPr>
                <w:b/>
                <w:snapToGrid w:val="0"/>
                <w:sz w:val="20"/>
                <w:highlight w:val="lightGray"/>
              </w:rPr>
              <w:t>1-5</w:t>
            </w:r>
          </w:p>
        </w:tc>
        <w:tc>
          <w:tcPr>
            <w:tcW w:w="770"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highlight w:val="lightGray"/>
              </w:rPr>
            </w:pPr>
            <w:r>
              <w:rPr>
                <w:b/>
                <w:snapToGrid w:val="0"/>
                <w:sz w:val="20"/>
                <w:highlight w:val="lightGray"/>
              </w:rPr>
              <w:t>6-10</w:t>
            </w:r>
          </w:p>
        </w:tc>
        <w:tc>
          <w:tcPr>
            <w:tcW w:w="1342"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highlight w:val="lightGray"/>
              </w:rPr>
            </w:pPr>
            <w:r>
              <w:rPr>
                <w:b/>
                <w:snapToGrid w:val="0"/>
                <w:sz w:val="20"/>
                <w:highlight w:val="lightGray"/>
              </w:rPr>
              <w:t>11-15</w:t>
            </w:r>
          </w:p>
        </w:tc>
        <w:tc>
          <w:tcPr>
            <w:tcW w:w="1215"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rPr>
            </w:pPr>
            <w:r>
              <w:rPr>
                <w:b/>
                <w:snapToGrid w:val="0"/>
                <w:sz w:val="20"/>
                <w:highlight w:val="lightGray"/>
              </w:rPr>
              <w:t>&gt; 16 years</w:t>
            </w:r>
          </w:p>
        </w:tc>
      </w:tr>
      <w:tr w:rsidR="006D50FE">
        <w:trPr>
          <w:trHeight w:val="300"/>
          <w:jc w:val="center"/>
        </w:trPr>
        <w:tc>
          <w:tcPr>
            <w:tcW w:w="2595"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w:t>
            </w:r>
          </w:p>
        </w:tc>
        <w:tc>
          <w:tcPr>
            <w:tcW w:w="769"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8%</w:t>
            </w:r>
          </w:p>
        </w:tc>
        <w:tc>
          <w:tcPr>
            <w:tcW w:w="770"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35%</w:t>
            </w:r>
          </w:p>
        </w:tc>
        <w:tc>
          <w:tcPr>
            <w:tcW w:w="1342"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41%</w:t>
            </w:r>
          </w:p>
        </w:tc>
        <w:tc>
          <w:tcPr>
            <w:tcW w:w="1215"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16%</w:t>
            </w:r>
          </w:p>
        </w:tc>
      </w:tr>
      <w:tr w:rsidR="006D50FE">
        <w:trPr>
          <w:trHeight w:val="300"/>
          <w:jc w:val="center"/>
        </w:trPr>
        <w:tc>
          <w:tcPr>
            <w:tcW w:w="2595"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rPr>
            </w:pPr>
            <w:r>
              <w:rPr>
                <w:b/>
                <w:snapToGrid w:val="0"/>
                <w:sz w:val="20"/>
              </w:rPr>
              <w:t>Teaching Experience (years)</w:t>
            </w:r>
          </w:p>
        </w:tc>
        <w:tc>
          <w:tcPr>
            <w:tcW w:w="769"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rPr>
            </w:pPr>
            <w:r>
              <w:rPr>
                <w:b/>
                <w:snapToGrid w:val="0"/>
                <w:sz w:val="20"/>
              </w:rPr>
              <w:t>1-5</w:t>
            </w:r>
          </w:p>
        </w:tc>
        <w:tc>
          <w:tcPr>
            <w:tcW w:w="770"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rPr>
            </w:pPr>
            <w:r>
              <w:rPr>
                <w:b/>
                <w:snapToGrid w:val="0"/>
                <w:sz w:val="20"/>
              </w:rPr>
              <w:t>6-10</w:t>
            </w:r>
          </w:p>
        </w:tc>
        <w:tc>
          <w:tcPr>
            <w:tcW w:w="1342"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rPr>
            </w:pPr>
            <w:r>
              <w:rPr>
                <w:b/>
                <w:snapToGrid w:val="0"/>
                <w:sz w:val="20"/>
              </w:rPr>
              <w:t>11-15</w:t>
            </w:r>
          </w:p>
        </w:tc>
        <w:tc>
          <w:tcPr>
            <w:tcW w:w="1215"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jc w:val="center"/>
              <w:rPr>
                <w:b/>
                <w:snapToGrid w:val="0"/>
                <w:sz w:val="20"/>
              </w:rPr>
            </w:pPr>
            <w:r>
              <w:rPr>
                <w:b/>
                <w:snapToGrid w:val="0"/>
                <w:sz w:val="20"/>
              </w:rPr>
              <w:t>&gt;16 years</w:t>
            </w:r>
          </w:p>
        </w:tc>
      </w:tr>
      <w:tr w:rsidR="006D50FE">
        <w:trPr>
          <w:trHeight w:val="300"/>
          <w:jc w:val="center"/>
        </w:trPr>
        <w:tc>
          <w:tcPr>
            <w:tcW w:w="2595"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w:t>
            </w:r>
          </w:p>
        </w:tc>
        <w:tc>
          <w:tcPr>
            <w:tcW w:w="769"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41%</w:t>
            </w:r>
          </w:p>
        </w:tc>
        <w:tc>
          <w:tcPr>
            <w:tcW w:w="770"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38%</w:t>
            </w:r>
          </w:p>
        </w:tc>
        <w:tc>
          <w:tcPr>
            <w:tcW w:w="1342"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jc w:val="center"/>
            </w:pPr>
            <w:r>
              <w:t>11%</w:t>
            </w:r>
          </w:p>
        </w:tc>
        <w:tc>
          <w:tcPr>
            <w:tcW w:w="1215" w:type="dxa"/>
            <w:tcBorders>
              <w:top w:val="single" w:sz="4" w:space="0" w:color="auto"/>
              <w:left w:val="single" w:sz="4" w:space="0" w:color="auto"/>
              <w:bottom w:val="single" w:sz="4" w:space="0" w:color="auto"/>
              <w:right w:val="single" w:sz="4" w:space="0" w:color="auto"/>
            </w:tcBorders>
            <w:shd w:val="solid" w:color="FFFFFF" w:fill="auto"/>
          </w:tcPr>
          <w:p w:rsidR="006D50FE" w:rsidRDefault="007317BE">
            <w:pPr>
              <w:tabs>
                <w:tab w:val="left" w:pos="300"/>
                <w:tab w:val="center" w:pos="565"/>
              </w:tabs>
            </w:pPr>
            <w:r>
              <w:tab/>
            </w:r>
            <w:r>
              <w:tab/>
              <w:t>10%</w:t>
            </w:r>
          </w:p>
        </w:tc>
      </w:tr>
    </w:tbl>
    <w:p w:rsidR="002C23D6" w:rsidRPr="002C23D6" w:rsidRDefault="007317BE" w:rsidP="00796AAB">
      <w:pPr>
        <w:pStyle w:val="Heading2"/>
      </w:pPr>
      <w:bookmarkStart w:id="3" w:name="_Toc361466254"/>
      <w:bookmarkStart w:id="4" w:name="_Toc362703132"/>
      <w:bookmarkStart w:id="5" w:name="_Toc360914499"/>
      <w:r w:rsidRPr="002C23D6">
        <w:t>Pr</w:t>
      </w:r>
      <w:r w:rsidR="000F5C27">
        <w:t>e-</w:t>
      </w:r>
      <w:r w:rsidRPr="002C23D6">
        <w:t xml:space="preserve"> and </w:t>
      </w:r>
      <w:r w:rsidR="00796AAB" w:rsidRPr="002C23D6">
        <w:t>Post</w:t>
      </w:r>
      <w:r w:rsidR="00796AAB">
        <w:t>-</w:t>
      </w:r>
      <w:r w:rsidR="00796AAB" w:rsidRPr="002C23D6">
        <w:t>Program Questionnaires</w:t>
      </w:r>
      <w:bookmarkEnd w:id="3"/>
      <w:bookmarkEnd w:id="4"/>
      <w:bookmarkEnd w:id="5"/>
    </w:p>
    <w:p w:rsidR="006D50FE" w:rsidRDefault="007317BE" w:rsidP="000F5C27">
      <w:r>
        <w:t xml:space="preserve">Two questionnaire versions were used for eliciting </w:t>
      </w:r>
      <w:r w:rsidR="000F5C27">
        <w:t>pre-</w:t>
      </w:r>
      <w:r>
        <w:t xml:space="preserve"> and post</w:t>
      </w:r>
      <w:r w:rsidR="000F5C27">
        <w:t>-</w:t>
      </w:r>
      <w:r>
        <w:t>program knowledge and perce</w:t>
      </w:r>
      <w:r>
        <w:t>p</w:t>
      </w:r>
      <w:r>
        <w:t>tions. Shortly before the program</w:t>
      </w:r>
      <w:r w:rsidR="00045CD7">
        <w:t>’</w:t>
      </w:r>
      <w:r>
        <w:t>s onset, the participants filled in a questionnaire asking for personal details, as well as eight questions about prior experience working with up-to-date teaching methodo</w:t>
      </w:r>
      <w:r>
        <w:t>l</w:t>
      </w:r>
      <w:r>
        <w:t xml:space="preserve">ogies (e.g., How much experience do you have in adjusting assessment to learning objectives?) and six questions about prior experience with e-learning and forums (e.g., How much experience do you have in participating in forums?). </w:t>
      </w:r>
    </w:p>
    <w:p w:rsidR="006D50FE" w:rsidRDefault="007317BE" w:rsidP="000F5C27">
      <w:r>
        <w:t>At the conclusion of the program, the participants filled in a feedback questionnaire with eight que</w:t>
      </w:r>
      <w:r>
        <w:t>s</w:t>
      </w:r>
      <w:r>
        <w:t>tions regarding ge</w:t>
      </w:r>
      <w:r w:rsidR="000F5C27">
        <w:t xml:space="preserve">neral aspects of the program (e.g., </w:t>
      </w:r>
      <w:r>
        <w:t>To what extent did the program contribute to your ability to adjust appraisal to learning object</w:t>
      </w:r>
      <w:r w:rsidR="000F5C27">
        <w:t>ives?</w:t>
      </w:r>
      <w:r>
        <w:t>), as well as four questions about the effectiv</w:t>
      </w:r>
      <w:r>
        <w:t>e</w:t>
      </w:r>
      <w:r>
        <w:t>ness of forum</w:t>
      </w:r>
      <w:r w:rsidR="000F5C27">
        <w:t xml:space="preserve">s and use of e-learning (e.g., </w:t>
      </w:r>
      <w:r>
        <w:t>To what extent did the program contribute to your ability to use e-learning in your teaching?). All the responses were provided on a 0 (none) to 5 (exte</w:t>
      </w:r>
      <w:r>
        <w:t>n</w:t>
      </w:r>
      <w:r>
        <w:t>sive/highly) Likert scale.</w:t>
      </w:r>
    </w:p>
    <w:p w:rsidR="002C23D6" w:rsidRPr="002C23D6" w:rsidRDefault="007317BE" w:rsidP="00796AAB">
      <w:pPr>
        <w:pStyle w:val="Heading2"/>
      </w:pPr>
      <w:r w:rsidRPr="002C23D6">
        <w:t>Community of Inquiry (</w:t>
      </w:r>
      <w:proofErr w:type="spellStart"/>
      <w:r w:rsidRPr="002C23D6">
        <w:t>CoI</w:t>
      </w:r>
      <w:proofErr w:type="spellEnd"/>
      <w:r w:rsidRPr="002C23D6">
        <w:t xml:space="preserve">) </w:t>
      </w:r>
      <w:r w:rsidR="00796AAB" w:rsidRPr="002C23D6">
        <w:t>Procedure</w:t>
      </w:r>
    </w:p>
    <w:p w:rsidR="006D50FE" w:rsidRDefault="007317BE" w:rsidP="00796AAB">
      <w:r>
        <w:t xml:space="preserve">We used the Moodle </w:t>
      </w:r>
      <w:r w:rsidR="000F5C27">
        <w:t xml:space="preserve">platform </w:t>
      </w:r>
      <w:r>
        <w:t xml:space="preserve">(the </w:t>
      </w:r>
      <w:r w:rsidR="000F5C27">
        <w:t xml:space="preserve">online </w:t>
      </w:r>
      <w:r>
        <w:t xml:space="preserve">Management System of </w:t>
      </w:r>
      <w:proofErr w:type="spellStart"/>
      <w:r>
        <w:t>Technion</w:t>
      </w:r>
      <w:proofErr w:type="spellEnd"/>
      <w:r>
        <w:t xml:space="preserve"> courses) for the forums. Three asynchronous online forums for </w:t>
      </w:r>
      <w:proofErr w:type="spellStart"/>
      <w:proofErr w:type="gramStart"/>
      <w:r>
        <w:t>CoIs</w:t>
      </w:r>
      <w:proofErr w:type="spellEnd"/>
      <w:proofErr w:type="gramEnd"/>
      <w:r>
        <w:t xml:space="preserve"> were incorporated into each of the two faculty deve</w:t>
      </w:r>
      <w:r>
        <w:t>l</w:t>
      </w:r>
      <w:r>
        <w:t xml:space="preserve">opment programs. </w:t>
      </w:r>
      <w:proofErr w:type="spellStart"/>
      <w:r>
        <w:t>CoI</w:t>
      </w:r>
      <w:proofErr w:type="spellEnd"/>
      <w:r>
        <w:t xml:space="preserve"> facilitators introduced a topic for discussion during seven days. Posting was voluntary with no associated assessment. Each year, two participants volunteered to jointly facilitate one </w:t>
      </w:r>
      <w:proofErr w:type="spellStart"/>
      <w:r>
        <w:t>CoI</w:t>
      </w:r>
      <w:proofErr w:type="spellEnd"/>
      <w:r>
        <w:t xml:space="preserve">. </w:t>
      </w:r>
    </w:p>
    <w:p w:rsidR="006D50FE" w:rsidRDefault="007317BE">
      <w:proofErr w:type="spellStart"/>
      <w:r>
        <w:t>CoI</w:t>
      </w:r>
      <w:proofErr w:type="spellEnd"/>
      <w:r>
        <w:t xml:space="preserve"> topics were selected on the basis of TPACK principles. In the first research year, </w:t>
      </w:r>
      <w:proofErr w:type="spellStart"/>
      <w:r>
        <w:t>CoIs</w:t>
      </w:r>
      <w:proofErr w:type="spellEnd"/>
      <w:r>
        <w:t xml:space="preserve"> focused on TCK, while TPK was discussed in the face-to-face meetings. This structure was reversed in the second year. Both participant-facilitated </w:t>
      </w:r>
      <w:proofErr w:type="spellStart"/>
      <w:proofErr w:type="gramStart"/>
      <w:r>
        <w:t>CoIs</w:t>
      </w:r>
      <w:proofErr w:type="spellEnd"/>
      <w:proofErr w:type="gramEnd"/>
      <w:r>
        <w:t xml:space="preserve"> focused on the same topic. Figure 2 illustrates the </w:t>
      </w:r>
      <w:proofErr w:type="spellStart"/>
      <w:r>
        <w:t>CoI</w:t>
      </w:r>
      <w:proofErr w:type="spellEnd"/>
      <w:r>
        <w:t xml:space="preserve"> topics, their sequence, and the forum facilitators by year.</w:t>
      </w:r>
    </w:p>
    <w:p w:rsidR="006D50FE" w:rsidRDefault="007317BE">
      <w:pPr>
        <w:keepNext/>
        <w:jc w:val="center"/>
      </w:pPr>
      <w:r>
        <w:rPr>
          <w:noProof/>
          <w:lang w:bidi="ar-SA"/>
        </w:rPr>
        <w:lastRenderedPageBreak/>
        <w:drawing>
          <wp:inline distT="0" distB="0" distL="0" distR="0" wp14:anchorId="1C580FA6" wp14:editId="795D10D1">
            <wp:extent cx="4469765" cy="3098165"/>
            <wp:effectExtent l="0" t="0" r="6985" b="6985"/>
            <wp:docPr id="103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9"/>
                    <pic:cNvPicPr/>
                  </pic:nvPicPr>
                  <pic:blipFill rotWithShape="1">
                    <a:blip r:embed="rId9" cstate="print">
                      <a:extLst>
                        <a:ext uri="{28A0092B-C50C-407E-A947-70E740481C1C}">
                          <a14:useLocalDpi xmlns:a14="http://schemas.microsoft.com/office/drawing/2010/main" val="0"/>
                        </a:ext>
                      </a:extLst>
                    </a:blip>
                    <a:srcRect/>
                    <a:stretch>
                      <a:fillRect/>
                    </a:stretch>
                  </pic:blipFill>
                  <pic:spPr>
                    <a:xfrm>
                      <a:off x="0" y="0"/>
                      <a:ext cx="4469765" cy="3098165"/>
                    </a:xfrm>
                    <a:prstGeom prst="rect">
                      <a:avLst/>
                    </a:prstGeom>
                  </pic:spPr>
                </pic:pic>
              </a:graphicData>
            </a:graphic>
          </wp:inline>
        </w:drawing>
      </w:r>
    </w:p>
    <w:p w:rsidR="006D50FE" w:rsidRDefault="007317BE">
      <w:pPr>
        <w:ind w:left="810" w:right="900"/>
        <w:jc w:val="center"/>
        <w:rPr>
          <w:b/>
          <w:bCs/>
        </w:rPr>
      </w:pPr>
      <w:r>
        <w:rPr>
          <w:b/>
          <w:bCs/>
        </w:rPr>
        <w:t>Figure 2: Community of Inquiry (</w:t>
      </w:r>
      <w:proofErr w:type="spellStart"/>
      <w:r>
        <w:rPr>
          <w:b/>
          <w:bCs/>
        </w:rPr>
        <w:t>CoI</w:t>
      </w:r>
      <w:proofErr w:type="spellEnd"/>
      <w:r>
        <w:rPr>
          <w:b/>
          <w:bCs/>
        </w:rPr>
        <w:t>) topics, their sequence, and the type of facilitators in each program year</w:t>
      </w:r>
    </w:p>
    <w:p w:rsidR="006D50FE" w:rsidRDefault="007317BE" w:rsidP="008136CB">
      <w:r>
        <w:t xml:space="preserve">The data </w:t>
      </w:r>
      <w:r w:rsidR="008136CB">
        <w:t xml:space="preserve">reported </w:t>
      </w:r>
      <w:r w:rsidR="002C23D6">
        <w:t xml:space="preserve">regarding </w:t>
      </w:r>
      <w:bookmarkStart w:id="6" w:name="_Toc360914501"/>
      <w:bookmarkStart w:id="7" w:name="_Toc361466256"/>
      <w:bookmarkStart w:id="8" w:name="_Toc362703134"/>
      <w:proofErr w:type="spellStart"/>
      <w:r w:rsidR="002C23D6" w:rsidRPr="002C23D6">
        <w:rPr>
          <w:i/>
          <w:iCs/>
        </w:rPr>
        <w:t>CoI</w:t>
      </w:r>
      <w:proofErr w:type="spellEnd"/>
      <w:r w:rsidR="002C23D6" w:rsidRPr="002C23D6">
        <w:rPr>
          <w:i/>
          <w:iCs/>
        </w:rPr>
        <w:t xml:space="preserve"> </w:t>
      </w:r>
      <w:bookmarkEnd w:id="6"/>
      <w:r w:rsidR="002C23D6" w:rsidRPr="002C23D6">
        <w:rPr>
          <w:i/>
          <w:iCs/>
        </w:rPr>
        <w:t>discourse</w:t>
      </w:r>
      <w:bookmarkEnd w:id="7"/>
      <w:bookmarkEnd w:id="8"/>
      <w:r w:rsidR="002C23D6">
        <w:t xml:space="preserve"> </w:t>
      </w:r>
      <w:r>
        <w:t xml:space="preserve">was collected throughout two academic years in two cycles of the faculty development program (2011, 2012). In the face-to-face meeting that followed each </w:t>
      </w:r>
      <w:proofErr w:type="spellStart"/>
      <w:r>
        <w:t>CoI</w:t>
      </w:r>
      <w:proofErr w:type="spellEnd"/>
      <w:r>
        <w:t xml:space="preserve">, participants provided </w:t>
      </w:r>
      <w:r w:rsidRPr="002C23D6">
        <w:rPr>
          <w:i/>
          <w:iCs/>
        </w:rPr>
        <w:t>reflection</w:t>
      </w:r>
      <w:r>
        <w:t xml:space="preserve"> on their experience; for example: (1) </w:t>
      </w:r>
      <w:proofErr w:type="gramStart"/>
      <w:r>
        <w:t>What</w:t>
      </w:r>
      <w:proofErr w:type="gramEnd"/>
      <w:r>
        <w:t xml:space="preserve"> were the main obje</w:t>
      </w:r>
      <w:r>
        <w:t>c</w:t>
      </w:r>
      <w:r>
        <w:t xml:space="preserve">tives of the last </w:t>
      </w:r>
      <w:proofErr w:type="spellStart"/>
      <w:r>
        <w:t>CoI</w:t>
      </w:r>
      <w:proofErr w:type="spellEnd"/>
      <w:r>
        <w:t xml:space="preserve">? (2) What were the determinants of your level of participation in the last </w:t>
      </w:r>
      <w:proofErr w:type="spellStart"/>
      <w:r>
        <w:t>CoI</w:t>
      </w:r>
      <w:proofErr w:type="spellEnd"/>
      <w:r>
        <w:t xml:space="preserve">? (3) What did you learn from the last </w:t>
      </w:r>
      <w:proofErr w:type="spellStart"/>
      <w:r>
        <w:t>CoI</w:t>
      </w:r>
      <w:proofErr w:type="spellEnd"/>
      <w:r>
        <w:t xml:space="preserve">? </w:t>
      </w:r>
      <w:proofErr w:type="gramStart"/>
      <w:r>
        <w:t>and</w:t>
      </w:r>
      <w:proofErr w:type="gramEnd"/>
      <w:r>
        <w:t xml:space="preserve"> (4) What was the most significant challenge of the </w:t>
      </w:r>
      <w:proofErr w:type="spellStart"/>
      <w:r>
        <w:t>CoI</w:t>
      </w:r>
      <w:proofErr w:type="spellEnd"/>
      <w:r>
        <w:t xml:space="preserve"> for your learning?  </w:t>
      </w:r>
    </w:p>
    <w:p w:rsidR="006D50FE" w:rsidRDefault="007317BE">
      <w:pPr>
        <w:rPr>
          <w:b/>
          <w:bCs/>
        </w:rPr>
      </w:pPr>
      <w:r>
        <w:t xml:space="preserve">Participants who were </w:t>
      </w:r>
      <w:proofErr w:type="spellStart"/>
      <w:r>
        <w:t>CoI</w:t>
      </w:r>
      <w:proofErr w:type="spellEnd"/>
      <w:r>
        <w:t xml:space="preserve"> facilitators reflected on their experience using the following dedicated questionnaire: (1) </w:t>
      </w:r>
      <w:proofErr w:type="gramStart"/>
      <w:r>
        <w:t>What</w:t>
      </w:r>
      <w:proofErr w:type="gramEnd"/>
      <w:r>
        <w:t xml:space="preserve"> prompted you to post your question to the </w:t>
      </w:r>
      <w:proofErr w:type="spellStart"/>
      <w:r>
        <w:t>CoI</w:t>
      </w:r>
      <w:proofErr w:type="spellEnd"/>
      <w:r>
        <w:t xml:space="preserve">? (2) Please describe your thoughts while facilitating the discourse. (3) What challenges do you identify in facilitating </w:t>
      </w:r>
      <w:proofErr w:type="spellStart"/>
      <w:proofErr w:type="gramStart"/>
      <w:r>
        <w:t>CoIs</w:t>
      </w:r>
      <w:proofErr w:type="spellEnd"/>
      <w:proofErr w:type="gramEnd"/>
      <w:r>
        <w:t xml:space="preserve">? (4) What are the main differences between facilitating face-to-face meetings and </w:t>
      </w:r>
      <w:proofErr w:type="spellStart"/>
      <w:r>
        <w:t>CoI</w:t>
      </w:r>
      <w:proofErr w:type="spellEnd"/>
      <w:r>
        <w:t>?</w:t>
      </w:r>
    </w:p>
    <w:p w:rsidR="00EF2472" w:rsidRPr="00EF2472" w:rsidRDefault="00EF2472" w:rsidP="00313EFA">
      <w:pPr>
        <w:pStyle w:val="Heading2"/>
      </w:pPr>
      <w:r w:rsidRPr="00EF2472">
        <w:t xml:space="preserve">Data </w:t>
      </w:r>
      <w:r w:rsidR="00313EFA">
        <w:t>A</w:t>
      </w:r>
      <w:r w:rsidRPr="00EF2472">
        <w:t>nalys</w:t>
      </w:r>
      <w:r w:rsidR="008136CB">
        <w:t>i</w:t>
      </w:r>
      <w:r w:rsidRPr="00EF2472">
        <w:t>s</w:t>
      </w:r>
      <w:r w:rsidR="007317BE" w:rsidRPr="00EF2472">
        <w:t xml:space="preserve"> </w:t>
      </w:r>
    </w:p>
    <w:p w:rsidR="006D50FE" w:rsidRPr="00B90DDD" w:rsidRDefault="007317BE" w:rsidP="00AD72EF">
      <w:r>
        <w:t xml:space="preserve">We employed a mixed data analysis approach involving qualitative analysis of </w:t>
      </w:r>
      <w:proofErr w:type="spellStart"/>
      <w:r>
        <w:t>CoI</w:t>
      </w:r>
      <w:proofErr w:type="spellEnd"/>
      <w:r>
        <w:t xml:space="preserve"> discourse and r</w:t>
      </w:r>
      <w:r>
        <w:t>e</w:t>
      </w:r>
      <w:r>
        <w:t>flection content, and quantitative</w:t>
      </w:r>
      <w:r w:rsidRPr="008136CB">
        <w:t xml:space="preserve"> statistical analyses of</w:t>
      </w:r>
      <w:r>
        <w:t xml:space="preserve"> the frequency of statements per type (positi</w:t>
      </w:r>
      <w:r>
        <w:t>v</w:t>
      </w:r>
      <w:r>
        <w:t xml:space="preserve">ity) and category. In order to ascertain trustworthiness, the statements were categorized and validated independently by three science education experts. One of the experts was the first author of this </w:t>
      </w:r>
      <w:r w:rsidRPr="00B90DDD">
        <w:t>paper.</w:t>
      </w:r>
      <w:r w:rsidR="00C5738B" w:rsidRPr="00B90DDD">
        <w:t xml:space="preserve"> The questionnaire</w:t>
      </w:r>
      <w:r w:rsidR="00045CD7" w:rsidRPr="00B90DDD">
        <w:t>’</w:t>
      </w:r>
      <w:r w:rsidR="00C5738B" w:rsidRPr="00B90DDD">
        <w:t>s internal consistency</w:t>
      </w:r>
      <w:r w:rsidR="00AD72EF" w:rsidRPr="00B90DDD">
        <w:t xml:space="preserve"> </w:t>
      </w:r>
      <w:r w:rsidR="00172FCF" w:rsidRPr="00B90DDD">
        <w:t>(Cronbach</w:t>
      </w:r>
      <w:r w:rsidR="00045CD7" w:rsidRPr="00B90DDD">
        <w:t>’</w:t>
      </w:r>
      <w:r w:rsidR="00172FCF" w:rsidRPr="00B90DDD">
        <w:t>s Alpha</w:t>
      </w:r>
      <w:r w:rsidR="00AD72EF" w:rsidRPr="00B90DDD">
        <w:t>) across the three judges</w:t>
      </w:r>
      <w:r w:rsidR="00C5738B" w:rsidRPr="00B90DDD">
        <w:t xml:space="preserve"> was 0.88.</w:t>
      </w:r>
    </w:p>
    <w:p w:rsidR="006D50FE" w:rsidRDefault="007317BE">
      <w:pPr>
        <w:rPr>
          <w:b/>
          <w:bCs/>
        </w:rPr>
      </w:pPr>
      <w:r>
        <w:t xml:space="preserve">In addition to global attitude picture emerging from content analysis of </w:t>
      </w:r>
      <w:proofErr w:type="spellStart"/>
      <w:r>
        <w:t>CoI</w:t>
      </w:r>
      <w:proofErr w:type="spellEnd"/>
      <w:r>
        <w:t xml:space="preserve"> discourse and reflection, incorporating several </w:t>
      </w:r>
      <w:proofErr w:type="spellStart"/>
      <w:r>
        <w:t>CoIs</w:t>
      </w:r>
      <w:proofErr w:type="spellEnd"/>
      <w:r>
        <w:t xml:space="preserve"> throughout the course of the faculty development program allows exa</w:t>
      </w:r>
      <w:r>
        <w:t>m</w:t>
      </w:r>
      <w:r>
        <w:t xml:space="preserve">ining changes in attitudes at the individual level as participants gain experience with using </w:t>
      </w:r>
      <w:proofErr w:type="spellStart"/>
      <w:r>
        <w:t>CoIs</w:t>
      </w:r>
      <w:proofErr w:type="spellEnd"/>
      <w:r>
        <w:t xml:space="preserve">. For demonstrating this close look into the attitude trends, we chose six representative participants (see </w:t>
      </w:r>
      <w:r w:rsidRPr="00197065">
        <w:t xml:space="preserve">Appendix </w:t>
      </w:r>
      <w:r w:rsidR="00197065">
        <w:t>A</w:t>
      </w:r>
      <w:r>
        <w:t xml:space="preserve"> for additional information regarding these participants). The scores were calculated by adding two points for positive statements, subtracting two points for negative statements, and giving no points for ambivalent statements. </w:t>
      </w:r>
    </w:p>
    <w:p w:rsidR="006D50FE" w:rsidRDefault="007317BE">
      <w:pPr>
        <w:pStyle w:val="Heading1"/>
      </w:pPr>
      <w:r>
        <w:t>Results</w:t>
      </w:r>
    </w:p>
    <w:p w:rsidR="006D50FE" w:rsidRDefault="007317BE">
      <w:r>
        <w:t xml:space="preserve">Uniformity of age, gender, seniority in medicine, and teaching experience across the two cohorts allowed combining the data of the two research years for data analyses. </w:t>
      </w:r>
    </w:p>
    <w:p w:rsidR="00EF2472" w:rsidRDefault="007317BE" w:rsidP="00EF2472">
      <w:pPr>
        <w:pStyle w:val="Heading2"/>
      </w:pPr>
      <w:r>
        <w:lastRenderedPageBreak/>
        <w:t xml:space="preserve">Prior </w:t>
      </w:r>
      <w:r w:rsidR="00B90DDD">
        <w:t xml:space="preserve">Experience </w:t>
      </w:r>
      <w:r>
        <w:t xml:space="preserve">and </w:t>
      </w:r>
      <w:r w:rsidR="00B90DDD">
        <w:t>Feedback Questionnaires</w:t>
      </w:r>
    </w:p>
    <w:p w:rsidR="006D50FE" w:rsidRDefault="007317BE" w:rsidP="00554F99">
      <w:r>
        <w:t>At the program onset, the mean rating of participants</w:t>
      </w:r>
      <w:r w:rsidR="00045CD7">
        <w:t>’</w:t>
      </w:r>
      <w:r>
        <w:t xml:space="preserve"> experience with up-to-date teaching metho</w:t>
      </w:r>
      <w:r>
        <w:t>d</w:t>
      </w:r>
      <w:r>
        <w:t xml:space="preserve">ologies was 3.7, while for e-learning and </w:t>
      </w:r>
      <w:proofErr w:type="spellStart"/>
      <w:proofErr w:type="gramStart"/>
      <w:r>
        <w:t>CoIs</w:t>
      </w:r>
      <w:proofErr w:type="spellEnd"/>
      <w:proofErr w:type="gramEnd"/>
      <w:r>
        <w:t xml:space="preserve"> the mean score was 2.5. </w:t>
      </w:r>
      <w:r w:rsidR="008A1D1B">
        <w:t xml:space="preserve">In addition, 40% </w:t>
      </w:r>
      <w:r w:rsidR="00554F99">
        <w:t>of the parti</w:t>
      </w:r>
      <w:r w:rsidR="00554F99">
        <w:t>c</w:t>
      </w:r>
      <w:r w:rsidR="00554F99">
        <w:t xml:space="preserve">ipants </w:t>
      </w:r>
      <w:r w:rsidR="008A1D1B">
        <w:t xml:space="preserve">expressed willingness to incorporate e-learning in their teaching. </w:t>
      </w:r>
      <w:r>
        <w:t>At the end of the program, the mean scores increased to 5.2 and 4.2, respectively.</w:t>
      </w:r>
      <w:r w:rsidR="00554F99">
        <w:t xml:space="preserve"> Moreover</w:t>
      </w:r>
      <w:r>
        <w:t xml:space="preserve">, </w:t>
      </w:r>
      <w:r w:rsidR="00554F99">
        <w:t>72</w:t>
      </w:r>
      <w:r w:rsidR="008A1D1B">
        <w:t xml:space="preserve">% of the </w:t>
      </w:r>
      <w:r>
        <w:t xml:space="preserve">participants </w:t>
      </w:r>
      <w:r w:rsidR="00554F99">
        <w:t xml:space="preserve">appreciated the </w:t>
      </w:r>
      <w:proofErr w:type="spellStart"/>
      <w:r w:rsidR="00554F99">
        <w:t>CoI</w:t>
      </w:r>
      <w:proofErr w:type="spellEnd"/>
      <w:r w:rsidR="00554F99">
        <w:t xml:space="preserve"> contribution to learning and 78% felt confidence enough to apply </w:t>
      </w:r>
      <w:proofErr w:type="spellStart"/>
      <w:r w:rsidR="00554F99">
        <w:t>CoIs</w:t>
      </w:r>
      <w:proofErr w:type="spellEnd"/>
      <w:r>
        <w:t xml:space="preserve"> in their teaching.</w:t>
      </w:r>
    </w:p>
    <w:p w:rsidR="00EF2472" w:rsidRPr="00EF2472" w:rsidRDefault="007317BE" w:rsidP="00EF2472">
      <w:pPr>
        <w:pStyle w:val="Heading2"/>
      </w:pPr>
      <w:r w:rsidRPr="00EF2472">
        <w:t>Attitudes with</w:t>
      </w:r>
      <w:r w:rsidR="00EF2472" w:rsidRPr="00EF2472">
        <w:t xml:space="preserve">in </w:t>
      </w:r>
      <w:proofErr w:type="spellStart"/>
      <w:r w:rsidR="00EF2472" w:rsidRPr="00EF2472">
        <w:t>CoI</w:t>
      </w:r>
      <w:proofErr w:type="spellEnd"/>
      <w:r w:rsidR="00EF2472" w:rsidRPr="00EF2472">
        <w:t xml:space="preserve"> </w:t>
      </w:r>
      <w:r w:rsidR="00B90DDD" w:rsidRPr="00EF2472">
        <w:t xml:space="preserve">Discourse </w:t>
      </w:r>
      <w:r w:rsidR="00EF2472" w:rsidRPr="00EF2472">
        <w:t xml:space="preserve">and </w:t>
      </w:r>
      <w:r w:rsidR="00B90DDD" w:rsidRPr="00EF2472">
        <w:t xml:space="preserve">Reflection </w:t>
      </w:r>
    </w:p>
    <w:p w:rsidR="006D50FE" w:rsidRDefault="007317BE">
      <w:r>
        <w:t>The categories, which emerged from both data sources, were: cognitive aspects, peer interaction, a</w:t>
      </w:r>
      <w:r>
        <w:t>f</w:t>
      </w:r>
      <w:r>
        <w:t xml:space="preserve">fect, teacher awareness, and time. </w:t>
      </w:r>
      <w:r w:rsidR="00B90DDD">
        <w:t>(</w:t>
      </w:r>
      <w:r>
        <w:t>See examples in Table 2.</w:t>
      </w:r>
      <w:r w:rsidR="00B90DDD">
        <w:t>)</w:t>
      </w:r>
      <w:r>
        <w:t xml:space="preserve"> </w:t>
      </w:r>
      <w:proofErr w:type="spellStart"/>
      <w:r>
        <w:t>CoI</w:t>
      </w:r>
      <w:proofErr w:type="spellEnd"/>
      <w:r>
        <w:t xml:space="preserve"> discourse data included 932 stat</w:t>
      </w:r>
      <w:r>
        <w:t>e</w:t>
      </w:r>
      <w:r>
        <w:t>ments (</w:t>
      </w:r>
      <w:proofErr w:type="spellStart"/>
      <w:r>
        <w:rPr>
          <w:i/>
          <w:iCs/>
        </w:rPr>
        <w:t>N</w:t>
      </w:r>
      <w:r>
        <w:rPr>
          <w:vertAlign w:val="subscript"/>
        </w:rPr>
        <w:t>participants</w:t>
      </w:r>
      <w:proofErr w:type="spellEnd"/>
      <w:r>
        <w:t xml:space="preserve"> = 34/37) and 303 statements from the reflections (</w:t>
      </w:r>
      <w:proofErr w:type="spellStart"/>
      <w:r>
        <w:rPr>
          <w:i/>
          <w:iCs/>
        </w:rPr>
        <w:t>N</w:t>
      </w:r>
      <w:r>
        <w:rPr>
          <w:vertAlign w:val="subscript"/>
        </w:rPr>
        <w:t>participants</w:t>
      </w:r>
      <w:proofErr w:type="spellEnd"/>
      <w:r>
        <w:t xml:space="preserve"> = 31/37), indicating a high level of participants</w:t>
      </w:r>
      <w:r w:rsidR="00045CD7">
        <w:t>’</w:t>
      </w:r>
      <w:r>
        <w:t xml:space="preserve"> cooperation despite lack of enforcement. As Figure 3 shows, positive statements dominated both data sources (the </w:t>
      </w:r>
      <w:proofErr w:type="spellStart"/>
      <w:r>
        <w:t>CoI</w:t>
      </w:r>
      <w:proofErr w:type="spellEnd"/>
      <w:r>
        <w:t xml:space="preserve"> discourse and the reflections), while ambivalent and negative statements distributed differently, </w:t>
      </w:r>
      <w:proofErr w:type="gramStart"/>
      <w:r>
        <w:rPr>
          <w:i/>
          <w:iCs/>
        </w:rPr>
        <w:t>χ</w:t>
      </w:r>
      <w:r>
        <w:rPr>
          <w:vertAlign w:val="superscript"/>
        </w:rPr>
        <w:t>2</w:t>
      </w:r>
      <w:r>
        <w:t>(</w:t>
      </w:r>
      <w:proofErr w:type="gramEnd"/>
      <w:r>
        <w:t xml:space="preserve">2) = 106.41, </w:t>
      </w:r>
      <w:r>
        <w:rPr>
          <w:i/>
          <w:iCs/>
        </w:rPr>
        <w:t>p</w:t>
      </w:r>
      <w:r>
        <w:t xml:space="preserve"> &lt; .0001.</w:t>
      </w:r>
    </w:p>
    <w:p w:rsidR="00B90DDD" w:rsidRDefault="00B90DDD" w:rsidP="00B90DDD">
      <w:pPr>
        <w:suppressAutoHyphens/>
        <w:jc w:val="center"/>
      </w:pPr>
      <w:r>
        <w:rPr>
          <w:b/>
          <w:bCs/>
        </w:rPr>
        <w:t xml:space="preserve">Table 2: Examples of statements from </w:t>
      </w:r>
      <w:proofErr w:type="spellStart"/>
      <w:r>
        <w:rPr>
          <w:b/>
          <w:bCs/>
        </w:rPr>
        <w:t>CoI</w:t>
      </w:r>
      <w:proofErr w:type="spellEnd"/>
      <w:r>
        <w:rPr>
          <w:b/>
          <w:bCs/>
        </w:rPr>
        <w:t xml:space="preserve"> discourse and reflective answers, </w:t>
      </w:r>
      <w:r>
        <w:rPr>
          <w:b/>
          <w:bCs/>
        </w:rPr>
        <w:br/>
        <w:t>with the attitude assigned for each statement</w:t>
      </w:r>
    </w:p>
    <w:tbl>
      <w:tblPr>
        <w:tblW w:w="7894" w:type="dxa"/>
        <w:jc w:val="center"/>
        <w:tblLayout w:type="fixed"/>
        <w:tblCellMar>
          <w:left w:w="40" w:type="dxa"/>
          <w:right w:w="40" w:type="dxa"/>
        </w:tblCellMar>
        <w:tblLook w:val="0000" w:firstRow="0" w:lastRow="0" w:firstColumn="0" w:lastColumn="0" w:noHBand="0" w:noVBand="0"/>
      </w:tblPr>
      <w:tblGrid>
        <w:gridCol w:w="1196"/>
        <w:gridCol w:w="1124"/>
        <w:gridCol w:w="5574"/>
      </w:tblGrid>
      <w:tr w:rsidR="006D50FE" w:rsidTr="00B90DDD">
        <w:trPr>
          <w:cantSplit/>
          <w:trHeight w:val="300"/>
          <w:tblHeader/>
          <w:jc w:val="center"/>
        </w:trPr>
        <w:tc>
          <w:tcPr>
            <w:tcW w:w="1196"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rPr>
                <w:b/>
                <w:snapToGrid w:val="0"/>
                <w:sz w:val="20"/>
              </w:rPr>
            </w:pPr>
            <w:r>
              <w:rPr>
                <w:b/>
                <w:snapToGrid w:val="0"/>
                <w:sz w:val="20"/>
              </w:rPr>
              <w:t>Category</w:t>
            </w:r>
          </w:p>
        </w:tc>
        <w:tc>
          <w:tcPr>
            <w:tcW w:w="1124"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rPr>
                <w:b/>
                <w:snapToGrid w:val="0"/>
                <w:sz w:val="20"/>
              </w:rPr>
            </w:pPr>
            <w:r>
              <w:rPr>
                <w:b/>
                <w:snapToGrid w:val="0"/>
                <w:sz w:val="20"/>
              </w:rPr>
              <w:t>Attitude</w:t>
            </w:r>
          </w:p>
        </w:tc>
        <w:tc>
          <w:tcPr>
            <w:tcW w:w="5574" w:type="dxa"/>
            <w:tcBorders>
              <w:top w:val="single" w:sz="6" w:space="0" w:color="000000"/>
              <w:left w:val="single" w:sz="6" w:space="0" w:color="000000"/>
              <w:bottom w:val="single" w:sz="6" w:space="0" w:color="000000"/>
              <w:right w:val="single" w:sz="6" w:space="0" w:color="000000"/>
            </w:tcBorders>
            <w:shd w:val="solid" w:color="C0C0C0" w:fill="auto"/>
          </w:tcPr>
          <w:p w:rsidR="006D50FE" w:rsidRDefault="007317BE">
            <w:pPr>
              <w:rPr>
                <w:b/>
                <w:snapToGrid w:val="0"/>
                <w:sz w:val="20"/>
              </w:rPr>
            </w:pPr>
            <w:r>
              <w:rPr>
                <w:b/>
                <w:snapToGrid w:val="0"/>
                <w:sz w:val="20"/>
              </w:rPr>
              <w:t>Statement</w:t>
            </w:r>
          </w:p>
        </w:tc>
      </w:tr>
      <w:tr w:rsidR="006D50FE" w:rsidTr="00B90DDD">
        <w:trPr>
          <w:cantSplit/>
          <w:trHeight w:val="300"/>
          <w:jc w:val="center"/>
        </w:trPr>
        <w:tc>
          <w:tcPr>
            <w:tcW w:w="1196"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b/>
                <w:bCs/>
                <w:i/>
                <w:iCs/>
                <w:lang w:bidi="en-US"/>
              </w:rPr>
            </w:pPr>
            <w:r>
              <w:rPr>
                <w:rFonts w:eastAsia="SimSun"/>
                <w:b/>
                <w:bCs/>
                <w:i/>
                <w:iCs/>
                <w:lang w:bidi="en-US"/>
              </w:rPr>
              <w:t>Cognitive</w:t>
            </w:r>
          </w:p>
        </w:tc>
        <w:tc>
          <w:tcPr>
            <w:tcW w:w="112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Positive</w:t>
            </w:r>
          </w:p>
        </w:tc>
        <w:tc>
          <w:tcPr>
            <w:tcW w:w="557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You are right. The purpose of medical education today is to transfer knowledge and competency to prepare for better physicians</w:t>
            </w:r>
            <w:r>
              <w:rPr>
                <w:rFonts w:eastAsia="SimSun"/>
                <w:i/>
                <w:iCs/>
                <w:lang w:bidi="en-US"/>
              </w:rPr>
              <w:t>”</w:t>
            </w:r>
            <w:r w:rsidR="007317BE">
              <w:rPr>
                <w:rFonts w:eastAsia="SimSun"/>
                <w:i/>
                <w:iCs/>
                <w:lang w:bidi="en-US"/>
              </w:rPr>
              <w:t xml:space="preserve">  (F_ZAFF11)*</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If surgery can nowadays take place with the patient while the surgeon is located in a different country or even continent, there is no reason not to use the wonders of online communication for learning purposes.</w:t>
            </w:r>
            <w:r>
              <w:rPr>
                <w:rFonts w:eastAsia="SimSun"/>
                <w:i/>
                <w:iCs/>
                <w:lang w:bidi="en-US"/>
              </w:rPr>
              <w:t>”</w:t>
            </w:r>
            <w:r w:rsidR="007317BE">
              <w:rPr>
                <w:rFonts w:eastAsia="SimSun"/>
                <w:i/>
                <w:iCs/>
                <w:lang w:bidi="en-US"/>
              </w:rPr>
              <w:t xml:space="preserve"> (F_BPFL11)</w:t>
            </w:r>
          </w:p>
        </w:tc>
      </w:tr>
      <w:tr w:rsidR="006D50FE" w:rsidTr="00B90DDD">
        <w:trPr>
          <w:cantSplit/>
          <w:trHeight w:val="300"/>
          <w:jc w:val="center"/>
        </w:trPr>
        <w:tc>
          <w:tcPr>
            <w:tcW w:w="1196"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6D50FE">
            <w:pPr>
              <w:spacing w:after="0"/>
              <w:rPr>
                <w:rFonts w:eastAsia="SimSun"/>
                <w:i/>
                <w:iCs/>
              </w:rPr>
            </w:pPr>
          </w:p>
        </w:tc>
        <w:tc>
          <w:tcPr>
            <w:tcW w:w="112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rPr>
            </w:pPr>
            <w:r>
              <w:rPr>
                <w:rFonts w:eastAsia="SimSun"/>
                <w:i/>
                <w:iCs/>
              </w:rPr>
              <w:t>Negative</w:t>
            </w:r>
          </w:p>
        </w:tc>
        <w:tc>
          <w:tcPr>
            <w:tcW w:w="557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420957">
            <w:pPr>
              <w:spacing w:after="0"/>
              <w:rPr>
                <w:rFonts w:eastAsia="Calibri"/>
                <w:i/>
                <w:iCs/>
              </w:rPr>
            </w:pPr>
            <w:r>
              <w:rPr>
                <w:rFonts w:eastAsia="SimSun"/>
                <w:i/>
                <w:iCs/>
              </w:rPr>
              <w:t>“</w:t>
            </w:r>
            <w:r w:rsidR="007317BE">
              <w:rPr>
                <w:rFonts w:eastAsia="SimSun"/>
                <w:i/>
                <w:iCs/>
              </w:rPr>
              <w:t>It feels like ventilation of frustrations and also allows the raising of  u</w:t>
            </w:r>
            <w:r w:rsidR="007317BE">
              <w:rPr>
                <w:rFonts w:eastAsia="SimSun"/>
                <w:i/>
                <w:iCs/>
              </w:rPr>
              <w:t>n</w:t>
            </w:r>
            <w:r w:rsidR="007317BE">
              <w:rPr>
                <w:rFonts w:eastAsia="SimSun"/>
                <w:i/>
                <w:iCs/>
              </w:rPr>
              <w:t>focused ideas</w:t>
            </w:r>
            <w:r>
              <w:rPr>
                <w:rFonts w:eastAsia="SimSun"/>
                <w:i/>
                <w:iCs/>
              </w:rPr>
              <w:t>”</w:t>
            </w:r>
            <w:r w:rsidR="007317BE">
              <w:rPr>
                <w:rFonts w:eastAsia="SimSun"/>
                <w:i/>
                <w:iCs/>
              </w:rPr>
              <w:t xml:space="preserve"> (R_YGFF11)</w:t>
            </w:r>
          </w:p>
          <w:p w:rsidR="006D50FE" w:rsidRDefault="00420957">
            <w:pPr>
              <w:spacing w:after="0"/>
              <w:rPr>
                <w:rFonts w:eastAsia="Calibri"/>
                <w:i/>
                <w:iCs/>
              </w:rPr>
            </w:pPr>
            <w:r>
              <w:rPr>
                <w:rFonts w:eastAsia="SimSun"/>
                <w:i/>
                <w:iCs/>
              </w:rPr>
              <w:t>“</w:t>
            </w:r>
            <w:r w:rsidR="007317BE">
              <w:rPr>
                <w:rFonts w:eastAsia="SimSun"/>
                <w:i/>
                <w:iCs/>
              </w:rPr>
              <w:t>I am against interactive forums, I do not believe it is possible to teach va</w:t>
            </w:r>
            <w:r w:rsidR="007317BE">
              <w:rPr>
                <w:rFonts w:eastAsia="SimSun"/>
                <w:i/>
                <w:iCs/>
              </w:rPr>
              <w:t>l</w:t>
            </w:r>
            <w:r w:rsidR="007317BE">
              <w:rPr>
                <w:rFonts w:eastAsia="SimSun"/>
                <w:i/>
                <w:iCs/>
              </w:rPr>
              <w:t>ues or learning skills through forums and do not think in this way un</w:t>
            </w:r>
            <w:r w:rsidR="007317BE">
              <w:rPr>
                <w:rFonts w:eastAsia="SimSun"/>
                <w:i/>
                <w:iCs/>
              </w:rPr>
              <w:t>i</w:t>
            </w:r>
            <w:r w:rsidR="007317BE">
              <w:rPr>
                <w:rFonts w:eastAsia="SimSun"/>
                <w:i/>
                <w:iCs/>
              </w:rPr>
              <w:t>formity and high level of learned material can be maintained.</w:t>
            </w:r>
            <w:r>
              <w:rPr>
                <w:rFonts w:eastAsia="SimSun"/>
                <w:i/>
                <w:iCs/>
              </w:rPr>
              <w:t>”</w:t>
            </w:r>
            <w:r w:rsidR="007317BE">
              <w:rPr>
                <w:rFonts w:eastAsia="SimSun"/>
                <w:i/>
                <w:iCs/>
              </w:rPr>
              <w:t>(F_YSF12)</w:t>
            </w:r>
          </w:p>
        </w:tc>
      </w:tr>
      <w:tr w:rsidR="006D50FE" w:rsidTr="00B90DDD">
        <w:trPr>
          <w:cantSplit/>
          <w:trHeight w:val="300"/>
          <w:jc w:val="center"/>
        </w:trPr>
        <w:tc>
          <w:tcPr>
            <w:tcW w:w="1196"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6D50FE">
            <w:pPr>
              <w:spacing w:after="0"/>
              <w:rPr>
                <w:rFonts w:eastAsia="SimSun"/>
                <w:i/>
                <w:iCs/>
              </w:rPr>
            </w:pPr>
          </w:p>
        </w:tc>
        <w:tc>
          <w:tcPr>
            <w:tcW w:w="112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7317BE">
            <w:pPr>
              <w:spacing w:after="0"/>
              <w:rPr>
                <w:rFonts w:eastAsia="SimSun"/>
                <w:i/>
                <w:iCs/>
              </w:rPr>
            </w:pPr>
            <w:r>
              <w:rPr>
                <w:rFonts w:eastAsia="SimSun"/>
                <w:i/>
                <w:iCs/>
              </w:rPr>
              <w:t>Ambivalent</w:t>
            </w:r>
          </w:p>
        </w:tc>
        <w:tc>
          <w:tcPr>
            <w:tcW w:w="557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420957">
            <w:pPr>
              <w:spacing w:after="0"/>
              <w:rPr>
                <w:rFonts w:eastAsia="Calibri"/>
                <w:i/>
                <w:iCs/>
              </w:rPr>
            </w:pPr>
            <w:r>
              <w:rPr>
                <w:rFonts w:eastAsia="SimSun"/>
                <w:i/>
                <w:iCs/>
              </w:rPr>
              <w:t>“</w:t>
            </w:r>
            <w:r w:rsidR="007317BE">
              <w:rPr>
                <w:rFonts w:eastAsia="SimSun"/>
                <w:i/>
                <w:iCs/>
              </w:rPr>
              <w:t>The level of expressed knowledge in the forum on the discussed topic [was different] compared with other topics [that were not discussed online]</w:t>
            </w:r>
            <w:r>
              <w:rPr>
                <w:rFonts w:eastAsia="SimSun"/>
                <w:i/>
                <w:iCs/>
              </w:rPr>
              <w:t>”</w:t>
            </w:r>
            <w:r w:rsidR="007317BE">
              <w:rPr>
                <w:rFonts w:eastAsia="SimSun"/>
                <w:i/>
                <w:iCs/>
              </w:rPr>
              <w:t>(R_IMSFI11)</w:t>
            </w:r>
          </w:p>
        </w:tc>
      </w:tr>
      <w:tr w:rsidR="006D50FE" w:rsidTr="00B90DDD">
        <w:trPr>
          <w:cantSplit/>
          <w:trHeight w:val="300"/>
          <w:jc w:val="center"/>
        </w:trPr>
        <w:tc>
          <w:tcPr>
            <w:tcW w:w="1196"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b/>
                <w:bCs/>
                <w:i/>
                <w:iCs/>
                <w:lang w:bidi="en-US"/>
              </w:rPr>
            </w:pPr>
            <w:r>
              <w:rPr>
                <w:rFonts w:eastAsia="SimSun"/>
                <w:b/>
                <w:bCs/>
                <w:i/>
                <w:iCs/>
                <w:lang w:bidi="en-US"/>
              </w:rPr>
              <w:t xml:space="preserve">Peer </w:t>
            </w:r>
            <w:r>
              <w:rPr>
                <w:rFonts w:eastAsia="SimSun"/>
                <w:b/>
                <w:bCs/>
                <w:i/>
                <w:iCs/>
                <w:lang w:bidi="en-US"/>
              </w:rPr>
              <w:br/>
              <w:t>Interaction</w:t>
            </w:r>
          </w:p>
        </w:tc>
        <w:tc>
          <w:tcPr>
            <w:tcW w:w="112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Positive</w:t>
            </w:r>
          </w:p>
        </w:tc>
        <w:tc>
          <w:tcPr>
            <w:tcW w:w="557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First I would like to thank you all, I feel I can learn from everyone…</w:t>
            </w:r>
            <w:r>
              <w:rPr>
                <w:rFonts w:eastAsia="SimSun"/>
                <w:i/>
                <w:iCs/>
                <w:lang w:bidi="en-US"/>
              </w:rPr>
              <w:t>”</w:t>
            </w:r>
            <w:r w:rsidR="007317BE">
              <w:rPr>
                <w:rFonts w:eastAsia="SimSun"/>
                <w:i/>
                <w:iCs/>
                <w:lang w:bidi="en-US"/>
              </w:rPr>
              <w:t xml:space="preserve"> (F_ESFI12)</w:t>
            </w:r>
          </w:p>
          <w:p w:rsidR="006D50FE" w:rsidRDefault="007317BE">
            <w:pPr>
              <w:spacing w:after="0"/>
              <w:rPr>
                <w:rFonts w:eastAsia="SimSun"/>
                <w:i/>
                <w:iCs/>
                <w:lang w:bidi="en-US"/>
              </w:rPr>
            </w:pPr>
            <w:r>
              <w:rPr>
                <w:rFonts w:eastAsia="SimSun"/>
                <w:i/>
                <w:iCs/>
                <w:lang w:bidi="en-US"/>
              </w:rPr>
              <w:t xml:space="preserve"> </w:t>
            </w:r>
            <w:r w:rsidR="00420957">
              <w:rPr>
                <w:rFonts w:eastAsia="SimSun"/>
                <w:i/>
                <w:iCs/>
                <w:lang w:bidi="en-US"/>
              </w:rPr>
              <w:t>“</w:t>
            </w:r>
            <w:r>
              <w:rPr>
                <w:rFonts w:eastAsia="SimSun"/>
                <w:i/>
                <w:iCs/>
                <w:lang w:bidi="en-US"/>
              </w:rPr>
              <w:t>…[The forum helps in] enhancing the interaction and connection between our group</w:t>
            </w:r>
            <w:r w:rsidR="00420957">
              <w:rPr>
                <w:rFonts w:eastAsia="SimSun"/>
                <w:i/>
                <w:iCs/>
                <w:lang w:bidi="en-US"/>
              </w:rPr>
              <w:t>”</w:t>
            </w:r>
            <w:r>
              <w:rPr>
                <w:rFonts w:eastAsia="SimSun"/>
                <w:i/>
                <w:iCs/>
                <w:lang w:bidi="en-US"/>
              </w:rPr>
              <w:t xml:space="preserve"> (R_ADFI11)</w:t>
            </w:r>
          </w:p>
        </w:tc>
      </w:tr>
      <w:tr w:rsidR="006D50FE" w:rsidTr="00B90DDD">
        <w:trPr>
          <w:cantSplit/>
          <w:trHeight w:val="300"/>
          <w:jc w:val="center"/>
        </w:trPr>
        <w:tc>
          <w:tcPr>
            <w:tcW w:w="1196"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6D50FE">
            <w:pPr>
              <w:spacing w:after="0"/>
              <w:rPr>
                <w:rFonts w:eastAsia="SimSun"/>
                <w:b/>
                <w:bCs/>
                <w:i/>
                <w:iCs/>
              </w:rPr>
            </w:pPr>
          </w:p>
        </w:tc>
        <w:tc>
          <w:tcPr>
            <w:tcW w:w="112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rPr>
            </w:pPr>
            <w:r>
              <w:rPr>
                <w:rFonts w:eastAsia="SimSun"/>
                <w:i/>
                <w:iCs/>
              </w:rPr>
              <w:t>Negative</w:t>
            </w:r>
          </w:p>
        </w:tc>
        <w:tc>
          <w:tcPr>
            <w:tcW w:w="557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420957">
            <w:pPr>
              <w:spacing w:after="0"/>
              <w:rPr>
                <w:rFonts w:eastAsia="Calibri"/>
                <w:i/>
                <w:iCs/>
              </w:rPr>
            </w:pPr>
            <w:r>
              <w:rPr>
                <w:rFonts w:eastAsia="SimSun"/>
                <w:i/>
                <w:iCs/>
              </w:rPr>
              <w:t>“</w:t>
            </w:r>
            <w:r w:rsidR="007317BE">
              <w:rPr>
                <w:rFonts w:eastAsia="SimSun"/>
                <w:i/>
                <w:iCs/>
              </w:rPr>
              <w:t xml:space="preserve">This is the first time for me to participate in such a forum </w:t>
            </w:r>
            <w:proofErr w:type="spellStart"/>
            <w:r w:rsidR="007317BE">
              <w:rPr>
                <w:rFonts w:eastAsia="SimSun"/>
                <w:i/>
                <w:iCs/>
              </w:rPr>
              <w:t>amd</w:t>
            </w:r>
            <w:proofErr w:type="spellEnd"/>
            <w:r w:rsidR="007317BE">
              <w:rPr>
                <w:rFonts w:eastAsia="SimSun"/>
                <w:i/>
                <w:iCs/>
              </w:rPr>
              <w:t xml:space="preserve"> it was a failure for me</w:t>
            </w:r>
            <w:r>
              <w:rPr>
                <w:rFonts w:eastAsia="SimSun"/>
                <w:i/>
                <w:iCs/>
              </w:rPr>
              <w:t>”</w:t>
            </w:r>
            <w:r w:rsidR="007317BE">
              <w:rPr>
                <w:rFonts w:eastAsia="SimSun"/>
                <w:i/>
                <w:iCs/>
              </w:rPr>
              <w:t xml:space="preserve"> (R_RAFF11)</w:t>
            </w:r>
          </w:p>
          <w:p w:rsidR="006D50FE" w:rsidRDefault="007317BE">
            <w:pPr>
              <w:spacing w:after="0"/>
              <w:rPr>
                <w:rFonts w:eastAsia="Calibri"/>
                <w:i/>
                <w:iCs/>
              </w:rPr>
            </w:pPr>
            <w:r>
              <w:rPr>
                <w:rFonts w:eastAsia="SimSun"/>
                <w:i/>
                <w:iCs/>
              </w:rPr>
              <w:t xml:space="preserve"> </w:t>
            </w:r>
            <w:r w:rsidR="00420957">
              <w:rPr>
                <w:rFonts w:eastAsia="SimSun"/>
                <w:i/>
                <w:iCs/>
              </w:rPr>
              <w:t>“</w:t>
            </w:r>
            <w:r>
              <w:rPr>
                <w:rFonts w:eastAsia="SimSun"/>
                <w:i/>
                <w:iCs/>
              </w:rPr>
              <w:t>Personally I don</w:t>
            </w:r>
            <w:r w:rsidR="00045CD7">
              <w:rPr>
                <w:rFonts w:eastAsia="SimSun"/>
                <w:i/>
                <w:iCs/>
              </w:rPr>
              <w:t>’</w:t>
            </w:r>
            <w:r>
              <w:rPr>
                <w:rFonts w:eastAsia="SimSun"/>
                <w:i/>
                <w:iCs/>
              </w:rPr>
              <w:t>t like the social networks like FACEBOOK …(F_MSFF12)</w:t>
            </w:r>
          </w:p>
        </w:tc>
      </w:tr>
      <w:tr w:rsidR="006D50FE" w:rsidTr="00B90DDD">
        <w:trPr>
          <w:cantSplit/>
          <w:trHeight w:val="300"/>
          <w:jc w:val="center"/>
        </w:trPr>
        <w:tc>
          <w:tcPr>
            <w:tcW w:w="1196"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6D50FE">
            <w:pPr>
              <w:spacing w:after="0"/>
              <w:rPr>
                <w:rFonts w:eastAsia="SimSun"/>
                <w:b/>
                <w:bCs/>
                <w:i/>
                <w:iCs/>
              </w:rPr>
            </w:pPr>
          </w:p>
        </w:tc>
        <w:tc>
          <w:tcPr>
            <w:tcW w:w="112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7317BE">
            <w:pPr>
              <w:spacing w:after="0"/>
              <w:rPr>
                <w:rFonts w:eastAsia="SimSun"/>
                <w:i/>
                <w:iCs/>
              </w:rPr>
            </w:pPr>
            <w:r>
              <w:rPr>
                <w:rFonts w:eastAsia="SimSun"/>
                <w:i/>
                <w:iCs/>
              </w:rPr>
              <w:t>Ambivalent</w:t>
            </w:r>
          </w:p>
        </w:tc>
        <w:tc>
          <w:tcPr>
            <w:tcW w:w="557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420957">
            <w:pPr>
              <w:spacing w:after="0"/>
              <w:rPr>
                <w:rFonts w:eastAsia="SimSun"/>
                <w:i/>
                <w:iCs/>
              </w:rPr>
            </w:pPr>
            <w:r>
              <w:rPr>
                <w:rFonts w:eastAsia="SimSun"/>
                <w:i/>
                <w:iCs/>
              </w:rPr>
              <w:t>“</w:t>
            </w:r>
            <w:r w:rsidR="007317BE">
              <w:rPr>
                <w:rFonts w:eastAsia="SimSun"/>
                <w:i/>
                <w:iCs/>
              </w:rPr>
              <w:t>My obligation is to my peers [while talking about posting to forums]</w:t>
            </w:r>
            <w:r>
              <w:rPr>
                <w:rFonts w:eastAsia="SimSun"/>
                <w:i/>
                <w:iCs/>
              </w:rPr>
              <w:t>”</w:t>
            </w:r>
            <w:r w:rsidR="007317BE">
              <w:rPr>
                <w:rFonts w:eastAsia="SimSun"/>
                <w:i/>
                <w:iCs/>
              </w:rPr>
              <w:t xml:space="preserve">   (R_MFL12)</w:t>
            </w:r>
          </w:p>
          <w:p w:rsidR="006D50FE" w:rsidRDefault="00420957">
            <w:pPr>
              <w:spacing w:after="0"/>
              <w:rPr>
                <w:rFonts w:eastAsia="Calibri"/>
                <w:i/>
                <w:iCs/>
              </w:rPr>
            </w:pPr>
            <w:r>
              <w:rPr>
                <w:rFonts w:eastAsia="SimSun"/>
                <w:i/>
                <w:iCs/>
              </w:rPr>
              <w:t>“</w:t>
            </w:r>
            <w:r w:rsidR="007317BE">
              <w:rPr>
                <w:rFonts w:eastAsia="SimSun"/>
                <w:i/>
                <w:iCs/>
              </w:rPr>
              <w:t xml:space="preserve"> I felt obligated to participate</w:t>
            </w:r>
            <w:r>
              <w:rPr>
                <w:rFonts w:eastAsia="SimSun"/>
                <w:i/>
                <w:iCs/>
              </w:rPr>
              <w:t>”</w:t>
            </w:r>
            <w:r w:rsidR="007317BE">
              <w:rPr>
                <w:rFonts w:eastAsia="SimSun"/>
                <w:i/>
                <w:iCs/>
              </w:rPr>
              <w:t xml:space="preserve"> (R_NLFF11)</w:t>
            </w:r>
          </w:p>
        </w:tc>
      </w:tr>
      <w:tr w:rsidR="006D50FE" w:rsidTr="00B90DDD">
        <w:trPr>
          <w:cantSplit/>
          <w:trHeight w:val="300"/>
          <w:jc w:val="center"/>
        </w:trPr>
        <w:tc>
          <w:tcPr>
            <w:tcW w:w="1196"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b/>
                <w:bCs/>
                <w:i/>
                <w:iCs/>
                <w:lang w:bidi="en-US"/>
              </w:rPr>
            </w:pPr>
            <w:r>
              <w:rPr>
                <w:rFonts w:eastAsia="SimSun"/>
                <w:b/>
                <w:bCs/>
                <w:i/>
                <w:iCs/>
                <w:lang w:bidi="en-US"/>
              </w:rPr>
              <w:t>Affective</w:t>
            </w:r>
          </w:p>
        </w:tc>
        <w:tc>
          <w:tcPr>
            <w:tcW w:w="112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Positive</w:t>
            </w:r>
          </w:p>
        </w:tc>
        <w:tc>
          <w:tcPr>
            <w:tcW w:w="557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rPr>
            </w:pPr>
            <w:r>
              <w:rPr>
                <w:rFonts w:eastAsia="SimSun"/>
                <w:i/>
                <w:iCs/>
              </w:rPr>
              <w:t>“</w:t>
            </w:r>
            <w:r w:rsidR="007317BE">
              <w:rPr>
                <w:rFonts w:eastAsia="SimSun"/>
                <w:i/>
                <w:iCs/>
              </w:rPr>
              <w:t>Thinking about myself, I remember the role models who are always in my thoughts and design my professional approach</w:t>
            </w:r>
            <w:r>
              <w:rPr>
                <w:rFonts w:eastAsia="SimSun"/>
                <w:i/>
                <w:iCs/>
              </w:rPr>
              <w:t>”</w:t>
            </w:r>
            <w:r w:rsidR="007317BE">
              <w:rPr>
                <w:rFonts w:eastAsia="SimSun"/>
                <w:i/>
                <w:iCs/>
              </w:rPr>
              <w:t xml:space="preserve"> </w:t>
            </w:r>
            <w:r w:rsidR="007317BE">
              <w:rPr>
                <w:rFonts w:eastAsia="SimSun"/>
                <w:i/>
                <w:iCs/>
                <w:rtl/>
              </w:rPr>
              <w:t xml:space="preserve">  </w:t>
            </w:r>
            <w:r w:rsidR="007317BE">
              <w:rPr>
                <w:rFonts w:eastAsia="SimSun"/>
                <w:i/>
                <w:iCs/>
              </w:rPr>
              <w:t xml:space="preserve"> (F_BFL11)</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Sharing our feelings and supporting each other</w:t>
            </w:r>
            <w:r>
              <w:rPr>
                <w:rFonts w:eastAsia="SimSun"/>
                <w:i/>
                <w:iCs/>
                <w:lang w:bidi="en-US"/>
              </w:rPr>
              <w:t>”</w:t>
            </w:r>
            <w:r w:rsidR="007317BE">
              <w:rPr>
                <w:rFonts w:eastAsia="SimSun"/>
                <w:i/>
                <w:iCs/>
                <w:lang w:bidi="en-US"/>
              </w:rPr>
              <w:t xml:space="preserve"> (R_KLFL11)</w:t>
            </w:r>
          </w:p>
        </w:tc>
      </w:tr>
      <w:tr w:rsidR="006D50FE" w:rsidTr="00B90DDD">
        <w:trPr>
          <w:cantSplit/>
          <w:trHeight w:val="300"/>
          <w:jc w:val="center"/>
        </w:trPr>
        <w:tc>
          <w:tcPr>
            <w:tcW w:w="1196"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6D50FE">
            <w:pPr>
              <w:spacing w:after="0"/>
              <w:rPr>
                <w:rFonts w:eastAsia="SimSun"/>
                <w:i/>
                <w:iCs/>
              </w:rPr>
            </w:pPr>
          </w:p>
        </w:tc>
        <w:tc>
          <w:tcPr>
            <w:tcW w:w="112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rPr>
            </w:pPr>
            <w:r>
              <w:rPr>
                <w:rFonts w:eastAsia="SimSun"/>
                <w:i/>
                <w:iCs/>
              </w:rPr>
              <w:t>Negative</w:t>
            </w:r>
          </w:p>
        </w:tc>
        <w:tc>
          <w:tcPr>
            <w:tcW w:w="557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rPr>
            </w:pPr>
            <w:r>
              <w:rPr>
                <w:rFonts w:eastAsia="SimSun"/>
                <w:i/>
                <w:iCs/>
              </w:rPr>
              <w:t>“</w:t>
            </w:r>
            <w:r w:rsidR="007317BE">
              <w:rPr>
                <w:rFonts w:eastAsia="SimSun"/>
                <w:i/>
                <w:iCs/>
              </w:rPr>
              <w:t>Personally I prefer a face-to-face vs. discussion</w:t>
            </w:r>
            <w:r>
              <w:rPr>
                <w:rFonts w:eastAsia="SimSun"/>
                <w:i/>
                <w:iCs/>
              </w:rPr>
              <w:t>”</w:t>
            </w:r>
            <w:r w:rsidR="007317BE">
              <w:rPr>
                <w:rFonts w:eastAsia="SimSun"/>
                <w:i/>
                <w:iCs/>
              </w:rPr>
              <w:t xml:space="preserve">  (R_NFL12) </w:t>
            </w:r>
          </w:p>
          <w:p w:rsidR="006D50FE" w:rsidRDefault="00420957">
            <w:pPr>
              <w:spacing w:after="0"/>
              <w:rPr>
                <w:rFonts w:eastAsia="Calibri"/>
                <w:i/>
                <w:iCs/>
              </w:rPr>
            </w:pPr>
            <w:r>
              <w:rPr>
                <w:rFonts w:eastAsia="SimSun"/>
                <w:i/>
                <w:iCs/>
              </w:rPr>
              <w:t>“</w:t>
            </w:r>
            <w:r w:rsidR="007317BE">
              <w:rPr>
                <w:rFonts w:eastAsia="SimSun"/>
                <w:i/>
                <w:iCs/>
              </w:rPr>
              <w:t xml:space="preserve">I am lost with this type of learning [Forums], something is missing. It feels lonely, with no </w:t>
            </w:r>
            <w:r w:rsidR="00045CD7">
              <w:rPr>
                <w:rFonts w:eastAsia="SimSun"/>
                <w:i/>
                <w:iCs/>
              </w:rPr>
              <w:t>‘</w:t>
            </w:r>
            <w:r w:rsidR="007317BE">
              <w:rPr>
                <w:rFonts w:eastAsia="SimSun"/>
                <w:i/>
                <w:iCs/>
              </w:rPr>
              <w:t>Intercommunications</w:t>
            </w:r>
            <w:r w:rsidR="00045CD7">
              <w:rPr>
                <w:rFonts w:eastAsia="SimSun"/>
                <w:i/>
                <w:iCs/>
              </w:rPr>
              <w:t>’</w:t>
            </w:r>
            <w:r>
              <w:rPr>
                <w:rFonts w:eastAsia="SimSun"/>
                <w:i/>
                <w:iCs/>
              </w:rPr>
              <w:t>”</w:t>
            </w:r>
            <w:r w:rsidR="007317BE">
              <w:rPr>
                <w:rFonts w:eastAsia="SimSun"/>
                <w:i/>
                <w:iCs/>
              </w:rPr>
              <w:t xml:space="preserve"> (F_BMFI11)</w:t>
            </w:r>
          </w:p>
        </w:tc>
      </w:tr>
      <w:tr w:rsidR="006D50FE" w:rsidTr="00B90DDD">
        <w:trPr>
          <w:cantSplit/>
          <w:trHeight w:val="300"/>
          <w:jc w:val="center"/>
        </w:trPr>
        <w:tc>
          <w:tcPr>
            <w:tcW w:w="1196"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6D50FE">
            <w:pPr>
              <w:spacing w:after="0"/>
              <w:rPr>
                <w:rFonts w:eastAsia="SimSun"/>
                <w:i/>
                <w:iCs/>
              </w:rPr>
            </w:pPr>
          </w:p>
        </w:tc>
        <w:tc>
          <w:tcPr>
            <w:tcW w:w="112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7317BE">
            <w:pPr>
              <w:spacing w:after="0"/>
              <w:rPr>
                <w:rFonts w:eastAsia="SimSun"/>
                <w:i/>
                <w:iCs/>
              </w:rPr>
            </w:pPr>
            <w:r>
              <w:rPr>
                <w:rFonts w:eastAsia="SimSun"/>
                <w:i/>
                <w:iCs/>
              </w:rPr>
              <w:t>Ambivalent</w:t>
            </w:r>
          </w:p>
        </w:tc>
        <w:tc>
          <w:tcPr>
            <w:tcW w:w="557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420957">
            <w:pPr>
              <w:spacing w:after="0"/>
              <w:rPr>
                <w:rFonts w:eastAsia="SimSun"/>
                <w:i/>
                <w:iCs/>
                <w:color w:val="4F81BD"/>
              </w:rPr>
            </w:pPr>
            <w:r>
              <w:rPr>
                <w:rFonts w:eastAsia="SimSun"/>
                <w:i/>
                <w:iCs/>
              </w:rPr>
              <w:t>“</w:t>
            </w:r>
            <w:r w:rsidR="007317BE">
              <w:rPr>
                <w:rFonts w:eastAsia="SimSun"/>
                <w:i/>
                <w:iCs/>
              </w:rPr>
              <w:t>I</w:t>
            </w:r>
            <w:r w:rsidR="007317BE">
              <w:rPr>
                <w:rFonts w:eastAsia="SimSun"/>
                <w:i/>
                <w:iCs/>
                <w:color w:val="4F81BD"/>
              </w:rPr>
              <w:t xml:space="preserve"> </w:t>
            </w:r>
            <w:r w:rsidR="007317BE">
              <w:rPr>
                <w:rFonts w:eastAsia="SimSun"/>
                <w:i/>
                <w:iCs/>
              </w:rPr>
              <w:t>think there is no substitute to learning in active setting via a direct co</w:t>
            </w:r>
            <w:r w:rsidR="007317BE">
              <w:rPr>
                <w:rFonts w:eastAsia="SimSun"/>
                <w:i/>
                <w:iCs/>
              </w:rPr>
              <w:t>n</w:t>
            </w:r>
            <w:r w:rsidR="007317BE">
              <w:rPr>
                <w:rFonts w:eastAsia="SimSun"/>
                <w:i/>
                <w:iCs/>
              </w:rPr>
              <w:t>tact [F2F] with the instructor, provided that the lecturers are talented and charismatics</w:t>
            </w:r>
            <w:r>
              <w:rPr>
                <w:rFonts w:eastAsia="SimSun"/>
                <w:i/>
                <w:iCs/>
              </w:rPr>
              <w:t>”</w:t>
            </w:r>
            <w:r w:rsidR="007317BE">
              <w:rPr>
                <w:rFonts w:eastAsia="SimSun"/>
                <w:i/>
                <w:iCs/>
              </w:rPr>
              <w:t>(F_AKFL11)</w:t>
            </w:r>
          </w:p>
        </w:tc>
      </w:tr>
      <w:tr w:rsidR="006D50FE" w:rsidTr="00B90DDD">
        <w:trPr>
          <w:cantSplit/>
          <w:trHeight w:val="300"/>
          <w:jc w:val="center"/>
        </w:trPr>
        <w:tc>
          <w:tcPr>
            <w:tcW w:w="1196"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b/>
                <w:bCs/>
                <w:i/>
                <w:iCs/>
                <w:lang w:bidi="en-US"/>
              </w:rPr>
            </w:pPr>
            <w:r>
              <w:rPr>
                <w:i/>
                <w:iCs/>
              </w:rPr>
              <w:br w:type="page"/>
            </w:r>
            <w:r>
              <w:rPr>
                <w:rFonts w:eastAsia="SimSun"/>
                <w:b/>
                <w:bCs/>
                <w:i/>
                <w:iCs/>
                <w:lang w:bidi="en-US"/>
              </w:rPr>
              <w:t>Teacher Awareness</w:t>
            </w:r>
          </w:p>
        </w:tc>
        <w:tc>
          <w:tcPr>
            <w:tcW w:w="112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Positive</w:t>
            </w:r>
          </w:p>
        </w:tc>
        <w:tc>
          <w:tcPr>
            <w:tcW w:w="557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Y. used a PBL teaching methods in his lesson</w:t>
            </w:r>
            <w:r>
              <w:rPr>
                <w:rFonts w:eastAsia="SimSun"/>
                <w:i/>
                <w:iCs/>
                <w:lang w:bidi="en-US"/>
              </w:rPr>
              <w:t>”</w:t>
            </w:r>
            <w:r w:rsidR="007317BE">
              <w:rPr>
                <w:rFonts w:eastAsia="SimSun"/>
                <w:i/>
                <w:iCs/>
                <w:lang w:bidi="en-US"/>
              </w:rPr>
              <w:t xml:space="preserve"> (F_IZFI11)</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Although we are no longer students we must continue to learn more about technology and also to be good doctors and good teachers</w:t>
            </w:r>
            <w:r>
              <w:rPr>
                <w:rFonts w:eastAsia="SimSun"/>
                <w:i/>
                <w:iCs/>
                <w:lang w:bidi="en-US"/>
              </w:rPr>
              <w:t>”</w:t>
            </w:r>
            <w:r w:rsidR="007317BE">
              <w:rPr>
                <w:rFonts w:eastAsia="SimSun"/>
                <w:i/>
                <w:iCs/>
                <w:lang w:bidi="en-US"/>
              </w:rPr>
              <w:t xml:space="preserve"> (F_MSFF11.</w:t>
            </w:r>
          </w:p>
        </w:tc>
      </w:tr>
      <w:tr w:rsidR="006D50FE" w:rsidTr="00B90DDD">
        <w:trPr>
          <w:cantSplit/>
          <w:trHeight w:val="300"/>
          <w:jc w:val="center"/>
        </w:trPr>
        <w:tc>
          <w:tcPr>
            <w:tcW w:w="1196"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6D50FE">
            <w:pPr>
              <w:spacing w:after="0"/>
              <w:rPr>
                <w:rFonts w:eastAsia="SimSun"/>
                <w:i/>
                <w:iCs/>
                <w:lang w:bidi="en-US"/>
              </w:rPr>
            </w:pPr>
          </w:p>
        </w:tc>
        <w:tc>
          <w:tcPr>
            <w:tcW w:w="112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Negative</w:t>
            </w:r>
          </w:p>
        </w:tc>
        <w:tc>
          <w:tcPr>
            <w:tcW w:w="557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As O. said there were many defects in the teaching methods…</w:t>
            </w:r>
            <w:r>
              <w:rPr>
                <w:rFonts w:eastAsia="SimSun"/>
                <w:i/>
                <w:iCs/>
                <w:lang w:bidi="en-US"/>
              </w:rPr>
              <w:t>”</w:t>
            </w:r>
            <w:r w:rsidR="007317BE">
              <w:rPr>
                <w:rFonts w:eastAsia="SimSun"/>
                <w:i/>
                <w:iCs/>
                <w:lang w:bidi="en-US"/>
              </w:rPr>
              <w:t xml:space="preserve">  (F_YGFI11)</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During the clinical learning years there is no place for technology teaching methods unless we would like to develop a technologist rather than a phys</w:t>
            </w:r>
            <w:r w:rsidR="007317BE">
              <w:rPr>
                <w:rFonts w:eastAsia="SimSun"/>
                <w:i/>
                <w:iCs/>
                <w:lang w:bidi="en-US"/>
              </w:rPr>
              <w:t>i</w:t>
            </w:r>
            <w:r w:rsidR="007317BE">
              <w:rPr>
                <w:rFonts w:eastAsia="SimSun"/>
                <w:i/>
                <w:iCs/>
                <w:lang w:bidi="en-US"/>
              </w:rPr>
              <w:t>cian</w:t>
            </w:r>
            <w:r>
              <w:rPr>
                <w:rFonts w:eastAsia="SimSun"/>
                <w:i/>
                <w:iCs/>
                <w:lang w:bidi="en-US"/>
              </w:rPr>
              <w:t>”</w:t>
            </w:r>
            <w:r w:rsidR="007317BE">
              <w:rPr>
                <w:rFonts w:eastAsia="SimSun"/>
                <w:i/>
                <w:iCs/>
                <w:lang w:bidi="en-US"/>
              </w:rPr>
              <w:t xml:space="preserve"> ( F_OSFL11)</w:t>
            </w:r>
          </w:p>
        </w:tc>
      </w:tr>
      <w:tr w:rsidR="006D50FE" w:rsidTr="00B90DDD">
        <w:trPr>
          <w:cantSplit/>
          <w:trHeight w:val="300"/>
          <w:jc w:val="center"/>
        </w:trPr>
        <w:tc>
          <w:tcPr>
            <w:tcW w:w="1196"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6D50FE">
            <w:pPr>
              <w:spacing w:after="0"/>
              <w:rPr>
                <w:rFonts w:eastAsia="SimSun"/>
                <w:i/>
                <w:iCs/>
                <w:lang w:bidi="en-US"/>
              </w:rPr>
            </w:pPr>
          </w:p>
        </w:tc>
        <w:tc>
          <w:tcPr>
            <w:tcW w:w="112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Ambivalent</w:t>
            </w:r>
          </w:p>
        </w:tc>
        <w:tc>
          <w:tcPr>
            <w:tcW w:w="5574" w:type="dxa"/>
            <w:tcBorders>
              <w:top w:val="single" w:sz="6" w:space="0" w:color="C0C0C0"/>
              <w:left w:val="single" w:sz="6" w:space="0" w:color="C0C0C0"/>
              <w:bottom w:val="single" w:sz="4" w:space="0" w:color="auto"/>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 xml:space="preserve"> I realized in the last forum that the facilitator was not dominant as in  face-to-face</w:t>
            </w:r>
            <w:r w:rsidR="00045CD7">
              <w:rPr>
                <w:rFonts w:eastAsia="SimSun"/>
                <w:i/>
                <w:iCs/>
                <w:lang w:bidi="en-US"/>
              </w:rPr>
              <w:t>’</w:t>
            </w:r>
            <w:r w:rsidR="007317BE">
              <w:rPr>
                <w:rFonts w:eastAsia="SimSun"/>
                <w:i/>
                <w:iCs/>
                <w:lang w:bidi="en-US"/>
              </w:rPr>
              <w:t>s learning class</w:t>
            </w:r>
            <w:r>
              <w:rPr>
                <w:rFonts w:eastAsia="SimSun"/>
                <w:i/>
                <w:iCs/>
                <w:lang w:bidi="en-US"/>
              </w:rPr>
              <w:t>”</w:t>
            </w:r>
            <w:r w:rsidR="007317BE">
              <w:rPr>
                <w:rFonts w:eastAsia="SimSun"/>
                <w:i/>
                <w:iCs/>
                <w:lang w:bidi="en-US"/>
              </w:rPr>
              <w:t xml:space="preserve"> (R_IZFI11)</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I think that in our age, students are learning (or we teach?) more techno</w:t>
            </w:r>
            <w:r w:rsidR="007317BE">
              <w:rPr>
                <w:rFonts w:eastAsia="SimSun"/>
                <w:i/>
                <w:iCs/>
                <w:lang w:bidi="en-US"/>
              </w:rPr>
              <w:t>l</w:t>
            </w:r>
            <w:r w:rsidR="007317BE">
              <w:rPr>
                <w:rFonts w:eastAsia="SimSun"/>
                <w:i/>
                <w:iCs/>
                <w:lang w:bidi="en-US"/>
              </w:rPr>
              <w:t>ogy and less clinical thinking</w:t>
            </w:r>
            <w:r>
              <w:rPr>
                <w:rFonts w:eastAsia="SimSun"/>
                <w:i/>
                <w:iCs/>
                <w:lang w:bidi="en-US"/>
              </w:rPr>
              <w:t>”</w:t>
            </w:r>
            <w:r w:rsidR="007317BE">
              <w:rPr>
                <w:rFonts w:eastAsia="SimSun"/>
                <w:i/>
                <w:iCs/>
                <w:lang w:bidi="en-US"/>
              </w:rPr>
              <w:t>(F_IZFI11)</w:t>
            </w:r>
          </w:p>
        </w:tc>
      </w:tr>
      <w:tr w:rsidR="006D50FE" w:rsidTr="00B90DDD">
        <w:trPr>
          <w:cantSplit/>
          <w:trHeight w:val="300"/>
          <w:jc w:val="center"/>
        </w:trPr>
        <w:tc>
          <w:tcPr>
            <w:tcW w:w="1196"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b/>
                <w:bCs/>
                <w:i/>
                <w:iCs/>
                <w:lang w:bidi="en-US"/>
              </w:rPr>
            </w:pPr>
            <w:r>
              <w:rPr>
                <w:rFonts w:eastAsia="SimSun"/>
                <w:b/>
                <w:bCs/>
                <w:i/>
                <w:iCs/>
                <w:lang w:bidi="en-US"/>
              </w:rPr>
              <w:t>Time</w:t>
            </w:r>
          </w:p>
        </w:tc>
        <w:tc>
          <w:tcPr>
            <w:tcW w:w="112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Positive</w:t>
            </w:r>
          </w:p>
        </w:tc>
        <w:tc>
          <w:tcPr>
            <w:tcW w:w="5574" w:type="dxa"/>
            <w:tcBorders>
              <w:top w:val="single" w:sz="4" w:space="0" w:color="auto"/>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Flexibility in time and location</w:t>
            </w:r>
            <w:r>
              <w:rPr>
                <w:rFonts w:eastAsia="SimSun"/>
                <w:i/>
                <w:iCs/>
                <w:lang w:bidi="en-US"/>
              </w:rPr>
              <w:t>”</w:t>
            </w:r>
            <w:r w:rsidR="007317BE">
              <w:rPr>
                <w:rFonts w:eastAsia="SimSun"/>
                <w:i/>
                <w:iCs/>
                <w:lang w:bidi="en-US"/>
              </w:rPr>
              <w:t xml:space="preserve"> (R_ASFL111)</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Perhaps if we</w:t>
            </w:r>
            <w:r w:rsidR="00045CD7">
              <w:rPr>
                <w:rFonts w:eastAsia="SimSun"/>
                <w:i/>
                <w:iCs/>
                <w:lang w:bidi="en-US"/>
              </w:rPr>
              <w:t>’</w:t>
            </w:r>
            <w:r w:rsidR="007317BE">
              <w:rPr>
                <w:rFonts w:eastAsia="SimSun"/>
                <w:i/>
                <w:iCs/>
                <w:lang w:bidi="en-US"/>
              </w:rPr>
              <w:t>ll have the roadmap for this technology at an early stage - we can save them time and bring them to the destination faster</w:t>
            </w:r>
            <w:r>
              <w:rPr>
                <w:rFonts w:eastAsia="SimSun"/>
                <w:i/>
                <w:iCs/>
                <w:lang w:bidi="en-US"/>
              </w:rPr>
              <w:t>”</w:t>
            </w:r>
            <w:r w:rsidR="007317BE">
              <w:rPr>
                <w:rFonts w:eastAsia="SimSun"/>
                <w:i/>
                <w:iCs/>
                <w:lang w:bidi="en-US"/>
              </w:rPr>
              <w:t xml:space="preserve"> (F_DGFL12)</w:t>
            </w:r>
          </w:p>
        </w:tc>
      </w:tr>
      <w:tr w:rsidR="006D50FE" w:rsidTr="00B90DDD">
        <w:trPr>
          <w:cantSplit/>
          <w:trHeight w:val="300"/>
          <w:jc w:val="center"/>
        </w:trPr>
        <w:tc>
          <w:tcPr>
            <w:tcW w:w="1196"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6D50FE">
            <w:pPr>
              <w:spacing w:after="0"/>
              <w:rPr>
                <w:rFonts w:eastAsia="SimSun"/>
                <w:i/>
                <w:iCs/>
                <w:lang w:bidi="en-US"/>
              </w:rPr>
            </w:pPr>
          </w:p>
        </w:tc>
        <w:tc>
          <w:tcPr>
            <w:tcW w:w="112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Negative</w:t>
            </w:r>
          </w:p>
        </w:tc>
        <w:tc>
          <w:tcPr>
            <w:tcW w:w="557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He (the doctor) has no time for his students…(F_D_GFL12)</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Lack of free time and lack of understanding that the forum is time li</w:t>
            </w:r>
            <w:r w:rsidR="007317BE">
              <w:rPr>
                <w:rFonts w:eastAsia="SimSun"/>
                <w:i/>
                <w:iCs/>
                <w:lang w:bidi="en-US"/>
              </w:rPr>
              <w:t>m</w:t>
            </w:r>
            <w:r w:rsidR="007317BE">
              <w:rPr>
                <w:rFonts w:eastAsia="SimSun"/>
                <w:i/>
                <w:iCs/>
                <w:lang w:bidi="en-US"/>
              </w:rPr>
              <w:t>ited</w:t>
            </w:r>
            <w:r>
              <w:rPr>
                <w:rFonts w:eastAsia="SimSun"/>
                <w:i/>
                <w:iCs/>
                <w:lang w:bidi="en-US"/>
              </w:rPr>
              <w:t>”</w:t>
            </w:r>
            <w:r w:rsidR="007317BE">
              <w:rPr>
                <w:rFonts w:eastAsia="SimSun"/>
                <w:i/>
                <w:iCs/>
                <w:lang w:bidi="en-US"/>
              </w:rPr>
              <w:t xml:space="preserve"> (R_DAFI11)</w:t>
            </w:r>
          </w:p>
        </w:tc>
      </w:tr>
      <w:tr w:rsidR="006D50FE" w:rsidTr="00B90DDD">
        <w:trPr>
          <w:cantSplit/>
          <w:trHeight w:val="300"/>
          <w:jc w:val="center"/>
        </w:trPr>
        <w:tc>
          <w:tcPr>
            <w:tcW w:w="1196"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6D50FE">
            <w:pPr>
              <w:spacing w:after="0"/>
              <w:rPr>
                <w:rFonts w:eastAsia="SimSun"/>
                <w:i/>
                <w:iCs/>
                <w:lang w:bidi="en-US"/>
              </w:rPr>
            </w:pPr>
          </w:p>
        </w:tc>
        <w:tc>
          <w:tcPr>
            <w:tcW w:w="112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7317BE">
            <w:pPr>
              <w:spacing w:after="0"/>
              <w:rPr>
                <w:rFonts w:eastAsia="SimSun"/>
                <w:i/>
                <w:iCs/>
                <w:lang w:bidi="en-US"/>
              </w:rPr>
            </w:pPr>
            <w:r>
              <w:rPr>
                <w:rFonts w:eastAsia="SimSun"/>
                <w:i/>
                <w:iCs/>
                <w:lang w:bidi="en-US"/>
              </w:rPr>
              <w:t>Ambivalent</w:t>
            </w:r>
          </w:p>
        </w:tc>
        <w:tc>
          <w:tcPr>
            <w:tcW w:w="5574" w:type="dxa"/>
            <w:tcBorders>
              <w:top w:val="single" w:sz="6" w:space="0" w:color="C0C0C0"/>
              <w:left w:val="single" w:sz="6" w:space="0" w:color="C0C0C0"/>
              <w:bottom w:val="single" w:sz="6" w:space="0" w:color="C0C0C0"/>
              <w:right w:val="single" w:sz="6" w:space="0" w:color="C0C0C0"/>
            </w:tcBorders>
            <w:shd w:val="solid" w:color="FFFFFF" w:fill="auto"/>
          </w:tcPr>
          <w:p w:rsidR="006D50FE" w:rsidRDefault="00420957">
            <w:pPr>
              <w:spacing w:after="0"/>
              <w:rPr>
                <w:rFonts w:eastAsia="SimSun"/>
                <w:i/>
                <w:iCs/>
                <w:lang w:bidi="en-US"/>
              </w:rPr>
            </w:pPr>
            <w:r>
              <w:rPr>
                <w:rFonts w:eastAsia="SimSun"/>
                <w:i/>
                <w:iCs/>
                <w:lang w:bidi="en-US"/>
              </w:rPr>
              <w:t>“</w:t>
            </w:r>
            <w:r w:rsidR="007317BE">
              <w:rPr>
                <w:rFonts w:eastAsia="SimSun"/>
                <w:i/>
                <w:iCs/>
                <w:lang w:bidi="en-US"/>
              </w:rPr>
              <w:t>The best lessons need a lot of time…</w:t>
            </w:r>
            <w:r>
              <w:rPr>
                <w:rFonts w:eastAsia="SimSun"/>
                <w:i/>
                <w:iCs/>
                <w:lang w:bidi="en-US"/>
              </w:rPr>
              <w:t>”</w:t>
            </w:r>
            <w:r w:rsidR="007317BE">
              <w:rPr>
                <w:rFonts w:eastAsia="SimSun"/>
                <w:i/>
                <w:iCs/>
                <w:lang w:bidi="en-US"/>
              </w:rPr>
              <w:t xml:space="preserve"> (F_Z_AFF11)</w:t>
            </w:r>
          </w:p>
          <w:p w:rsidR="006D50FE" w:rsidRDefault="00420957">
            <w:pPr>
              <w:spacing w:after="0"/>
              <w:rPr>
                <w:rFonts w:eastAsia="SimSun"/>
                <w:i/>
                <w:iCs/>
                <w:lang w:bidi="en-US"/>
              </w:rPr>
            </w:pPr>
            <w:r>
              <w:rPr>
                <w:rFonts w:eastAsia="SimSun"/>
                <w:i/>
                <w:iCs/>
                <w:lang w:bidi="en-US"/>
              </w:rPr>
              <w:t>“</w:t>
            </w:r>
            <w:r w:rsidR="007317BE">
              <w:rPr>
                <w:rFonts w:eastAsia="SimSun"/>
                <w:i/>
                <w:iCs/>
                <w:lang w:bidi="en-US"/>
              </w:rPr>
              <w:t>[It is difficult] to divide my time resources between different activities</w:t>
            </w:r>
            <w:r>
              <w:rPr>
                <w:rFonts w:eastAsia="SimSun"/>
                <w:i/>
                <w:iCs/>
                <w:lang w:bidi="en-US"/>
              </w:rPr>
              <w:t>”</w:t>
            </w:r>
            <w:r w:rsidR="007317BE">
              <w:rPr>
                <w:rFonts w:eastAsia="SimSun"/>
                <w:i/>
                <w:iCs/>
                <w:lang w:bidi="en-US"/>
              </w:rPr>
              <w:t xml:space="preserve"> (R_IZFF11)</w:t>
            </w:r>
          </w:p>
        </w:tc>
      </w:tr>
    </w:tbl>
    <w:p w:rsidR="006D50FE" w:rsidRDefault="007317BE">
      <w:r>
        <w:rPr>
          <w:bCs/>
        </w:rPr>
        <w:t>* Statement identifiers starting with F relate to forum discourse while those starting with R relate to reflection.</w:t>
      </w:r>
    </w:p>
    <w:p w:rsidR="006D50FE" w:rsidRDefault="007317BE" w:rsidP="00B90DDD">
      <w:pPr>
        <w:keepNext/>
        <w:jc w:val="center"/>
      </w:pPr>
      <w:r>
        <w:rPr>
          <w:noProof/>
          <w:lang w:bidi="ar-SA"/>
        </w:rPr>
        <w:drawing>
          <wp:inline distT="0" distB="0" distL="0" distR="0" wp14:anchorId="47F42B2E" wp14:editId="7D296471">
            <wp:extent cx="4743450" cy="2133599"/>
            <wp:effectExtent l="0" t="0" r="0" b="0"/>
            <wp:docPr id="10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pic:nvPicPr>
                  <pic:blipFill rotWithShape="1">
                    <a:blip r:embed="rId10" cstate="print">
                      <a:extLst>
                        <a:ext uri="{28A0092B-C50C-407E-A947-70E740481C1C}">
                          <a14:useLocalDpi xmlns:a14="http://schemas.microsoft.com/office/drawing/2010/main" val="0"/>
                        </a:ext>
                      </a:extLst>
                    </a:blip>
                    <a:srcRect/>
                    <a:stretch>
                      <a:fillRect/>
                    </a:stretch>
                  </pic:blipFill>
                  <pic:spPr>
                    <a:xfrm>
                      <a:off x="0" y="0"/>
                      <a:ext cx="4743450" cy="2133599"/>
                    </a:xfrm>
                    <a:prstGeom prst="rect">
                      <a:avLst/>
                    </a:prstGeom>
                  </pic:spPr>
                </pic:pic>
              </a:graphicData>
            </a:graphic>
          </wp:inline>
        </w:drawing>
      </w:r>
    </w:p>
    <w:p w:rsidR="006D50FE" w:rsidRDefault="007317BE">
      <w:pPr>
        <w:ind w:left="630" w:right="630"/>
        <w:jc w:val="center"/>
        <w:rPr>
          <w:b/>
          <w:bCs/>
        </w:rPr>
      </w:pPr>
      <w:r>
        <w:rPr>
          <w:b/>
          <w:bCs/>
        </w:rPr>
        <w:t>Figure 3: The distribution (%) of attitudes in Community of Inquiry discourse (</w:t>
      </w:r>
      <w:proofErr w:type="spellStart"/>
      <w:r>
        <w:rPr>
          <w:b/>
          <w:bCs/>
        </w:rPr>
        <w:t>CoI</w:t>
      </w:r>
      <w:proofErr w:type="spellEnd"/>
      <w:r>
        <w:rPr>
          <w:b/>
          <w:bCs/>
        </w:rPr>
        <w:t xml:space="preserve"> discourse, panel A) and in reflections (panel B)</w:t>
      </w:r>
      <w:r>
        <w:rPr>
          <w:b/>
          <w:bCs/>
          <w:rtl/>
        </w:rPr>
        <w:t>.</w:t>
      </w:r>
    </w:p>
    <w:p w:rsidR="006D50FE" w:rsidRDefault="007317BE" w:rsidP="00F940CD">
      <w:r>
        <w:t>Analyzing participants</w:t>
      </w:r>
      <w:r w:rsidR="00045CD7">
        <w:t>’</w:t>
      </w:r>
      <w:r>
        <w:t xml:space="preserve"> attitudes by category, the distribution of statement types differed within each category and within each data source (both </w:t>
      </w:r>
      <w:proofErr w:type="spellStart"/>
      <w:r>
        <w:rPr>
          <w:i/>
          <w:iCs/>
        </w:rPr>
        <w:t>p</w:t>
      </w:r>
      <w:r>
        <w:t>s</w:t>
      </w:r>
      <w:proofErr w:type="spellEnd"/>
      <w:r>
        <w:t xml:space="preserve"> &lt; .0001; see Figure 4). </w:t>
      </w:r>
    </w:p>
    <w:p w:rsidR="006D50FE" w:rsidRDefault="007317BE">
      <w:pPr>
        <w:jc w:val="center"/>
      </w:pPr>
      <w:r>
        <w:rPr>
          <w:noProof/>
          <w:lang w:bidi="ar-SA"/>
        </w:rPr>
        <w:lastRenderedPageBreak/>
        <w:drawing>
          <wp:inline distT="0" distB="0" distL="0" distR="0" wp14:anchorId="37FF2FFF" wp14:editId="53E12785">
            <wp:extent cx="5041900" cy="2114549"/>
            <wp:effectExtent l="0" t="0" r="6350" b="0"/>
            <wp:docPr id="10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3"/>
                    <pic:cNvPicPr/>
                  </pic:nvPicPr>
                  <pic:blipFill rotWithShape="1">
                    <a:blip r:embed="rId11" cstate="print">
                      <a:extLst>
                        <a:ext uri="{28A0092B-C50C-407E-A947-70E740481C1C}">
                          <a14:useLocalDpi xmlns:a14="http://schemas.microsoft.com/office/drawing/2010/main" val="0"/>
                        </a:ext>
                      </a:extLst>
                    </a:blip>
                    <a:srcRect/>
                    <a:stretch>
                      <a:fillRect/>
                    </a:stretch>
                  </pic:blipFill>
                  <pic:spPr>
                    <a:xfrm>
                      <a:off x="0" y="0"/>
                      <a:ext cx="5041900" cy="2114549"/>
                    </a:xfrm>
                    <a:prstGeom prst="rect">
                      <a:avLst/>
                    </a:prstGeom>
                  </pic:spPr>
                </pic:pic>
              </a:graphicData>
            </a:graphic>
          </wp:inline>
        </w:drawing>
      </w:r>
    </w:p>
    <w:p w:rsidR="006D50FE" w:rsidRDefault="007317BE">
      <w:pPr>
        <w:jc w:val="center"/>
        <w:rPr>
          <w:b/>
          <w:bCs/>
        </w:rPr>
      </w:pPr>
      <w:r>
        <w:rPr>
          <w:b/>
          <w:bCs/>
        </w:rPr>
        <w:t>Figure 4: Division of statement types into categories for Community of Inquiry Discourse (</w:t>
      </w:r>
      <w:proofErr w:type="spellStart"/>
      <w:r>
        <w:rPr>
          <w:b/>
          <w:bCs/>
        </w:rPr>
        <w:t>CoI</w:t>
      </w:r>
      <w:proofErr w:type="spellEnd"/>
      <w:r>
        <w:rPr>
          <w:b/>
          <w:bCs/>
        </w:rPr>
        <w:t xml:space="preserve"> discourse, panel A) and reflections (panel B)</w:t>
      </w:r>
    </w:p>
    <w:p w:rsidR="006D50FE" w:rsidRDefault="00045CD7" w:rsidP="008136CB">
      <w:r>
        <w:t>‘</w:t>
      </w:r>
      <w:r w:rsidR="007317BE">
        <w:t>Teaching awareness</w:t>
      </w:r>
      <w:r>
        <w:t>’</w:t>
      </w:r>
      <w:r w:rsidR="007317BE">
        <w:t xml:space="preserve"> appeared only in </w:t>
      </w:r>
      <w:proofErr w:type="spellStart"/>
      <w:r w:rsidR="007317BE">
        <w:t>CoI</w:t>
      </w:r>
      <w:proofErr w:type="spellEnd"/>
      <w:r w:rsidR="007317BE">
        <w:t xml:space="preserve"> discourse. </w:t>
      </w:r>
      <w:r>
        <w:t>‘</w:t>
      </w:r>
      <w:r w:rsidR="007317BE">
        <w:t>Affect</w:t>
      </w:r>
      <w:r>
        <w:t>’</w:t>
      </w:r>
      <w:r w:rsidR="007317BE">
        <w:t xml:space="preserve"> had more negative statements than ot</w:t>
      </w:r>
      <w:r w:rsidR="007317BE">
        <w:t>h</w:t>
      </w:r>
      <w:r w:rsidR="007317BE">
        <w:t xml:space="preserve">er categories in both </w:t>
      </w:r>
      <w:proofErr w:type="spellStart"/>
      <w:r w:rsidR="007317BE">
        <w:t>CoI</w:t>
      </w:r>
      <w:proofErr w:type="spellEnd"/>
      <w:r w:rsidR="007317BE">
        <w:t xml:space="preserve"> discourse and reflections, while </w:t>
      </w:r>
      <w:r>
        <w:t>‘</w:t>
      </w:r>
      <w:r w:rsidR="007317BE">
        <w:t>Cognitive aspects</w:t>
      </w:r>
      <w:r>
        <w:t>’</w:t>
      </w:r>
      <w:r w:rsidR="007317BE">
        <w:t xml:space="preserve"> and </w:t>
      </w:r>
      <w:r>
        <w:t>‘</w:t>
      </w:r>
      <w:r w:rsidR="007317BE">
        <w:t>Teacher awareness</w:t>
      </w:r>
      <w:r>
        <w:t>’</w:t>
      </w:r>
      <w:r w:rsidR="007317BE">
        <w:t xml:space="preserve"> had more positive statements relative to other categories. Negative type items within the </w:t>
      </w:r>
      <w:r>
        <w:t>‘</w:t>
      </w:r>
      <w:r w:rsidR="007317BE">
        <w:t>Time</w:t>
      </w:r>
      <w:r>
        <w:t>’</w:t>
      </w:r>
      <w:r w:rsidR="007317BE">
        <w:t xml:space="preserve"> and </w:t>
      </w:r>
      <w:r>
        <w:t>‘</w:t>
      </w:r>
      <w:r w:rsidR="007317BE">
        <w:t>Affect</w:t>
      </w:r>
      <w:r>
        <w:t>’</w:t>
      </w:r>
      <w:r w:rsidR="007317BE">
        <w:t xml:space="preserve"> categories were dominant only in the reflections. </w:t>
      </w:r>
    </w:p>
    <w:p w:rsidR="006D50FE" w:rsidRDefault="007317BE">
      <w:r>
        <w:t xml:space="preserve">In light of the centrality of technological aspects in TPACK, we compared the two technological </w:t>
      </w:r>
      <w:proofErr w:type="spellStart"/>
      <w:proofErr w:type="gramStart"/>
      <w:r>
        <w:t>CoIs</w:t>
      </w:r>
      <w:proofErr w:type="spellEnd"/>
      <w:proofErr w:type="gramEnd"/>
      <w:r>
        <w:t xml:space="preserve"> (which focused on TCK and TPK) to </w:t>
      </w:r>
      <w:proofErr w:type="spellStart"/>
      <w:r>
        <w:t>CoIs</w:t>
      </w:r>
      <w:proofErr w:type="spellEnd"/>
      <w:r>
        <w:t xml:space="preserve"> that focused on Pedagogical Content Knowledge. The technological </w:t>
      </w:r>
      <w:proofErr w:type="spellStart"/>
      <w:r>
        <w:t>CoIs</w:t>
      </w:r>
      <w:proofErr w:type="spellEnd"/>
      <w:r>
        <w:t xml:space="preserve"> included more positive statements than the Pedagogical Content Knowledge </w:t>
      </w:r>
      <w:proofErr w:type="spellStart"/>
      <w:r>
        <w:t>CoIs</w:t>
      </w:r>
      <w:proofErr w:type="spellEnd"/>
      <w:r>
        <w:t xml:space="preserve">, </w:t>
      </w:r>
      <w:proofErr w:type="gramStart"/>
      <w:r>
        <w:rPr>
          <w:i/>
          <w:iCs/>
        </w:rPr>
        <w:t>χ</w:t>
      </w:r>
      <w:r>
        <w:rPr>
          <w:vertAlign w:val="superscript"/>
        </w:rPr>
        <w:t>2</w:t>
      </w:r>
      <w:r>
        <w:t>(</w:t>
      </w:r>
      <w:proofErr w:type="gramEnd"/>
      <w:r>
        <w:t xml:space="preserve">2) = 7.46, </w:t>
      </w:r>
      <w:r>
        <w:rPr>
          <w:i/>
          <w:iCs/>
        </w:rPr>
        <w:t>p</w:t>
      </w:r>
      <w:r>
        <w:t xml:space="preserve"> &lt; .05, with no difference between their corresponding reflections. Thus, there was no sign for particularly negative attitude towards technological topics. </w:t>
      </w:r>
    </w:p>
    <w:p w:rsidR="00EF2472" w:rsidRDefault="00EF2472" w:rsidP="00EF2472">
      <w:pPr>
        <w:pStyle w:val="Heading2"/>
      </w:pPr>
      <w:r>
        <w:t xml:space="preserve">The </w:t>
      </w:r>
      <w:r w:rsidR="00B90DDD">
        <w:t xml:space="preserve">Effect </w:t>
      </w:r>
      <w:r>
        <w:t xml:space="preserve">of </w:t>
      </w:r>
      <w:proofErr w:type="spellStart"/>
      <w:r>
        <w:t>CoI</w:t>
      </w:r>
      <w:proofErr w:type="spellEnd"/>
      <w:r>
        <w:t xml:space="preserve"> </w:t>
      </w:r>
      <w:r w:rsidR="00B90DDD">
        <w:t xml:space="preserve">Facilitators  </w:t>
      </w:r>
    </w:p>
    <w:p w:rsidR="006D50FE" w:rsidRDefault="007317BE" w:rsidP="00B90DDD">
      <w:r>
        <w:t xml:space="preserve">Comparing the </w:t>
      </w:r>
      <w:proofErr w:type="spellStart"/>
      <w:r>
        <w:t>CoIs</w:t>
      </w:r>
      <w:proofErr w:type="spellEnd"/>
      <w:r>
        <w:t xml:space="preserve"> facilitated by instructors with those facilitated by participants yielded significan</w:t>
      </w:r>
      <w:r>
        <w:t>t</w:t>
      </w:r>
      <w:r>
        <w:t>ly more postings</w:t>
      </w:r>
      <w:r>
        <w:rPr>
          <w:rtl/>
        </w:rPr>
        <w:t xml:space="preserve"> </w:t>
      </w:r>
      <w:r>
        <w:t>(</w:t>
      </w:r>
      <w:r>
        <w:rPr>
          <w:i/>
          <w:iCs/>
        </w:rPr>
        <w:t>M</w:t>
      </w:r>
      <w:r>
        <w:t xml:space="preserve"> = 16.0, </w:t>
      </w:r>
      <w:r>
        <w:rPr>
          <w:i/>
          <w:iCs/>
        </w:rPr>
        <w:t>SD</w:t>
      </w:r>
      <w:r>
        <w:t xml:space="preserve"> = 23.3) in instructor-facilitated </w:t>
      </w:r>
      <w:proofErr w:type="spellStart"/>
      <w:r>
        <w:t>CoIs</w:t>
      </w:r>
      <w:proofErr w:type="spellEnd"/>
      <w:r>
        <w:t xml:space="preserve"> than in participant-facilitated ones (</w:t>
      </w:r>
      <w:r>
        <w:rPr>
          <w:i/>
          <w:iCs/>
        </w:rPr>
        <w:t>M</w:t>
      </w:r>
      <w:r>
        <w:t xml:space="preserve"> = 9.1, </w:t>
      </w:r>
      <w:r>
        <w:rPr>
          <w:i/>
          <w:iCs/>
        </w:rPr>
        <w:t>SD</w:t>
      </w:r>
      <w:r>
        <w:t xml:space="preserve"> = 8.6), </w:t>
      </w:r>
      <w:proofErr w:type="gramStart"/>
      <w:r>
        <w:rPr>
          <w:i/>
          <w:iCs/>
        </w:rPr>
        <w:t>t</w:t>
      </w:r>
      <w:r>
        <w:t>(</w:t>
      </w:r>
      <w:proofErr w:type="gramEnd"/>
      <w:r>
        <w:t xml:space="preserve">108) = 1.99, </w:t>
      </w:r>
      <w:r>
        <w:rPr>
          <w:i/>
          <w:iCs/>
        </w:rPr>
        <w:t>p</w:t>
      </w:r>
      <w:r>
        <w:t xml:space="preserve"> &lt; .05. However, when breaking the analyses into info</w:t>
      </w:r>
      <w:r>
        <w:t>r</w:t>
      </w:r>
      <w:r>
        <w:t xml:space="preserve">mation sources, </w:t>
      </w:r>
      <w:proofErr w:type="spellStart"/>
      <w:r>
        <w:t>CoI</w:t>
      </w:r>
      <w:proofErr w:type="spellEnd"/>
      <w:r>
        <w:t xml:space="preserve"> discourse and reflection separately, both differences became insignificant. Ho</w:t>
      </w:r>
      <w:r>
        <w:t>w</w:t>
      </w:r>
      <w:r>
        <w:t xml:space="preserve">ever, </w:t>
      </w:r>
      <w:proofErr w:type="spellStart"/>
      <w:r>
        <w:t>CoI</w:t>
      </w:r>
      <w:proofErr w:type="spellEnd"/>
      <w:r>
        <w:t xml:space="preserve"> discourse of instructor-facilitated </w:t>
      </w:r>
      <w:proofErr w:type="spellStart"/>
      <w:r>
        <w:t>CoIs</w:t>
      </w:r>
      <w:proofErr w:type="spellEnd"/>
      <w:r>
        <w:t xml:space="preserve"> included more positive statements than participant-facilitated ones, </w:t>
      </w:r>
      <w:proofErr w:type="gramStart"/>
      <w:r>
        <w:rPr>
          <w:i/>
          <w:iCs/>
        </w:rPr>
        <w:t>χ</w:t>
      </w:r>
      <w:r>
        <w:rPr>
          <w:vertAlign w:val="superscript"/>
        </w:rPr>
        <w:t>2</w:t>
      </w:r>
      <w:r>
        <w:t>(</w:t>
      </w:r>
      <w:proofErr w:type="gramEnd"/>
      <w:r>
        <w:t xml:space="preserve">2) = 19.29, </w:t>
      </w:r>
      <w:r>
        <w:rPr>
          <w:i/>
          <w:iCs/>
        </w:rPr>
        <w:t>p</w:t>
      </w:r>
      <w:r>
        <w:t xml:space="preserve"> &lt; .0001, with no difference in the corresponding reflections. Exa</w:t>
      </w:r>
      <w:r>
        <w:t>m</w:t>
      </w:r>
      <w:r>
        <w:t xml:space="preserve">ples of reflections provided by participant facilitators are presented in </w:t>
      </w:r>
      <w:r w:rsidRPr="00197065">
        <w:t>Appendix</w:t>
      </w:r>
      <w:r w:rsidR="00197065">
        <w:t xml:space="preserve"> B</w:t>
      </w:r>
      <w:r>
        <w:t xml:space="preserve">. These examples demonstrate that these participants gained insights from their experience and became more aware of the strengths and challenges associated with facilitating </w:t>
      </w:r>
      <w:proofErr w:type="spellStart"/>
      <w:r>
        <w:t>CoIs</w:t>
      </w:r>
      <w:proofErr w:type="spellEnd"/>
      <w:r>
        <w:t xml:space="preserve">. </w:t>
      </w:r>
      <w:bookmarkStart w:id="9" w:name="_Toc365747968"/>
    </w:p>
    <w:bookmarkEnd w:id="9"/>
    <w:p w:rsidR="00EF2472" w:rsidRDefault="007317BE" w:rsidP="00EF2472">
      <w:pPr>
        <w:pStyle w:val="Heading2"/>
      </w:pPr>
      <w:r>
        <w:t xml:space="preserve">Attitude </w:t>
      </w:r>
      <w:r w:rsidR="00B90DDD">
        <w:t xml:space="preserve">Change During </w:t>
      </w:r>
      <w:r>
        <w:t xml:space="preserve">the </w:t>
      </w:r>
      <w:r w:rsidR="00B90DDD">
        <w:t>Program</w:t>
      </w:r>
    </w:p>
    <w:p w:rsidR="006D50FE" w:rsidRDefault="007317BE" w:rsidP="00965377">
      <w:r>
        <w:t xml:space="preserve">Figure 5 presents the attitude change of the six participants chosen for demonstrating analysis at the individual level allowed by the data collected in the </w:t>
      </w:r>
      <w:proofErr w:type="spellStart"/>
      <w:r>
        <w:t>CoIs</w:t>
      </w:r>
      <w:proofErr w:type="spellEnd"/>
      <w:r>
        <w:t xml:space="preserve">. The tendency upwards in Figure 5 reflects an increase from the first </w:t>
      </w:r>
      <w:proofErr w:type="spellStart"/>
      <w:r>
        <w:t>CoI</w:t>
      </w:r>
      <w:proofErr w:type="spellEnd"/>
      <w:r>
        <w:t xml:space="preserve"> to the final </w:t>
      </w:r>
      <w:proofErr w:type="spellStart"/>
      <w:r>
        <w:t>CoI</w:t>
      </w:r>
      <w:proofErr w:type="spellEnd"/>
      <w:r>
        <w:t xml:space="preserve"> in positive attitudes towards </w:t>
      </w:r>
      <w:proofErr w:type="spellStart"/>
      <w:r>
        <w:t>CoI</w:t>
      </w:r>
      <w:proofErr w:type="spellEnd"/>
      <w:r>
        <w:t>. For example, at the firs</w:t>
      </w:r>
      <w:r w:rsidR="008136CB">
        <w:t>t</w:t>
      </w:r>
      <w:r>
        <w:t xml:space="preserve"> </w:t>
      </w:r>
      <w:proofErr w:type="spellStart"/>
      <w:r>
        <w:t>CoI</w:t>
      </w:r>
      <w:proofErr w:type="spellEnd"/>
      <w:r>
        <w:t xml:space="preserve"> Participant 1 and Participant 2 expressed low willingness to learn or teach using </w:t>
      </w:r>
      <w:r w:rsidR="00965377">
        <w:t>educational</w:t>
      </w:r>
      <w:r>
        <w:t xml:space="preserve"> technolog</w:t>
      </w:r>
      <w:r w:rsidR="00965377">
        <w:t>ies</w:t>
      </w:r>
      <w:r>
        <w:t xml:space="preserve">. However, Figure 5 highlights that, based on both the </w:t>
      </w:r>
      <w:proofErr w:type="spellStart"/>
      <w:r>
        <w:t>CoI</w:t>
      </w:r>
      <w:proofErr w:type="spellEnd"/>
      <w:r>
        <w:t xml:space="preserve"> </w:t>
      </w:r>
      <w:r w:rsidR="00C32E3A">
        <w:t>discourse</w:t>
      </w:r>
      <w:r>
        <w:t xml:space="preserve"> and </w:t>
      </w:r>
      <w:proofErr w:type="gramStart"/>
      <w:r>
        <w:t>reflection,</w:t>
      </w:r>
      <w:proofErr w:type="gramEnd"/>
      <w:r>
        <w:t xml:space="preserve"> </w:t>
      </w:r>
      <w:r w:rsidR="003950AB">
        <w:t>pa</w:t>
      </w:r>
      <w:r w:rsidR="003950AB">
        <w:t>r</w:t>
      </w:r>
      <w:r w:rsidR="003950AB">
        <w:t>ticipants</w:t>
      </w:r>
      <w:r w:rsidR="00045CD7">
        <w:t>’</w:t>
      </w:r>
      <w:r>
        <w:t xml:space="preserve"> attitudes became more positive </w:t>
      </w:r>
      <w:r w:rsidR="00145DB8" w:rsidRPr="00145DB8">
        <w:t xml:space="preserve">by the time they participated in the last </w:t>
      </w:r>
      <w:proofErr w:type="spellStart"/>
      <w:r w:rsidR="00145DB8" w:rsidRPr="00145DB8">
        <w:t>CoI</w:t>
      </w:r>
      <w:proofErr w:type="spellEnd"/>
      <w:r>
        <w:t>. Unlike these participants, Participant 3</w:t>
      </w:r>
      <w:r w:rsidR="00045CD7">
        <w:t>’</w:t>
      </w:r>
      <w:r w:rsidR="00145DB8">
        <w:t>s</w:t>
      </w:r>
      <w:r>
        <w:t xml:space="preserve"> </w:t>
      </w:r>
      <w:r w:rsidR="00145DB8">
        <w:t xml:space="preserve">attitude towards </w:t>
      </w:r>
      <w:proofErr w:type="spellStart"/>
      <w:r w:rsidR="00145DB8">
        <w:t>CoI</w:t>
      </w:r>
      <w:proofErr w:type="spellEnd"/>
      <w:r w:rsidR="00145DB8">
        <w:t xml:space="preserve"> </w:t>
      </w:r>
      <w:r>
        <w:t xml:space="preserve">did not change much as reflected in the </w:t>
      </w:r>
      <w:r w:rsidR="00C32E3A">
        <w:t>discourse</w:t>
      </w:r>
      <w:r>
        <w:t xml:space="preserve">, and his/her reflections even became somewhat more negative after participating in </w:t>
      </w:r>
      <w:proofErr w:type="spellStart"/>
      <w:r>
        <w:t>CoIs</w:t>
      </w:r>
      <w:proofErr w:type="spellEnd"/>
      <w:r>
        <w:t>. This ph</w:t>
      </w:r>
      <w:r>
        <w:t>e</w:t>
      </w:r>
      <w:r>
        <w:t>nomena represent the challenges and frustration some of the participants felt. According to our d</w:t>
      </w:r>
      <w:r>
        <w:t>i</w:t>
      </w:r>
      <w:r>
        <w:t xml:space="preserve">agnostic model, Participant 3 would benefit from individual mentoring. For Participant 6, there was no change in attitudes as reflected by his or her </w:t>
      </w:r>
      <w:r w:rsidR="00290CC5">
        <w:t>discourse</w:t>
      </w:r>
      <w:r>
        <w:t xml:space="preserve"> statements in the </w:t>
      </w:r>
      <w:proofErr w:type="spellStart"/>
      <w:proofErr w:type="gramStart"/>
      <w:r>
        <w:t>CoIs</w:t>
      </w:r>
      <w:proofErr w:type="spellEnd"/>
      <w:proofErr w:type="gramEnd"/>
      <w:r>
        <w:t>. However, the r</w:t>
      </w:r>
      <w:r>
        <w:t>e</w:t>
      </w:r>
      <w:r>
        <w:lastRenderedPageBreak/>
        <w:t xml:space="preserve">flections exposed positive tendency toward incorporating technology in teaching, possibly signaling readiness to implement </w:t>
      </w:r>
      <w:proofErr w:type="spellStart"/>
      <w:proofErr w:type="gramStart"/>
      <w:r>
        <w:t>CoIs</w:t>
      </w:r>
      <w:proofErr w:type="spellEnd"/>
      <w:proofErr w:type="gramEnd"/>
      <w:r>
        <w:t xml:space="preserve"> in his/her classes.</w:t>
      </w:r>
    </w:p>
    <w:p w:rsidR="006D50FE" w:rsidRDefault="007317BE">
      <w:pPr>
        <w:pStyle w:val="a"/>
        <w:jc w:val="center"/>
        <w:rPr>
          <w:rFonts w:ascii="Times New Roman" w:eastAsia="Times New Roman" w:hAnsi="Times New Roman" w:cs="Times New Roman"/>
          <w:sz w:val="22"/>
          <w:lang w:eastAsia="he-IL" w:bidi="he-IL"/>
        </w:rPr>
      </w:pPr>
      <w:r>
        <w:rPr>
          <w:rFonts w:ascii="Times New Roman" w:eastAsia="Times New Roman" w:hAnsi="Times New Roman" w:cs="Times New Roman"/>
          <w:noProof/>
          <w:sz w:val="22"/>
          <w:lang w:bidi="ar-SA"/>
        </w:rPr>
        <w:drawing>
          <wp:inline distT="0" distB="0" distL="0" distR="0" wp14:anchorId="7FB60A01" wp14:editId="05AACFC3">
            <wp:extent cx="3486150" cy="4171950"/>
            <wp:effectExtent l="0" t="0" r="0" b="0"/>
            <wp:docPr id="103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pic:cNvPicPr/>
                  </pic:nvPicPr>
                  <pic:blipFill rotWithShape="1">
                    <a:blip r:embed="rId12" cstate="print">
                      <a:extLst>
                        <a:ext uri="{28A0092B-C50C-407E-A947-70E740481C1C}">
                          <a14:useLocalDpi xmlns:a14="http://schemas.microsoft.com/office/drawing/2010/main" val="0"/>
                        </a:ext>
                      </a:extLst>
                    </a:blip>
                    <a:srcRect/>
                    <a:stretch>
                      <a:fillRect/>
                    </a:stretch>
                  </pic:blipFill>
                  <pic:spPr>
                    <a:xfrm>
                      <a:off x="0" y="0"/>
                      <a:ext cx="3486150" cy="4171950"/>
                    </a:xfrm>
                    <a:prstGeom prst="rect">
                      <a:avLst/>
                    </a:prstGeom>
                  </pic:spPr>
                </pic:pic>
              </a:graphicData>
            </a:graphic>
          </wp:inline>
        </w:drawing>
      </w:r>
    </w:p>
    <w:p w:rsidR="006D50FE" w:rsidRDefault="007317BE">
      <w:pPr>
        <w:jc w:val="center"/>
        <w:rPr>
          <w:b/>
          <w:bCs/>
        </w:rPr>
      </w:pPr>
      <w:r>
        <w:rPr>
          <w:b/>
          <w:bCs/>
        </w:rPr>
        <w:t>Figure 5: Change in attitude scores of six representative participants</w:t>
      </w:r>
    </w:p>
    <w:p w:rsidR="006D50FE" w:rsidRDefault="007317BE">
      <w:pPr>
        <w:pStyle w:val="Heading1"/>
      </w:pPr>
      <w:r>
        <w:t xml:space="preserve">Discussion </w:t>
      </w:r>
    </w:p>
    <w:p w:rsidR="006D50FE" w:rsidRDefault="007317BE" w:rsidP="00145DB8">
      <w:r>
        <w:t>The starting point for the present study was that overall educators lack experience in using technol</w:t>
      </w:r>
      <w:r>
        <w:t>o</w:t>
      </w:r>
      <w:r>
        <w:t>gy for pedagogy</w:t>
      </w:r>
      <w:r w:rsidR="00145DB8">
        <w:t xml:space="preserve">—a </w:t>
      </w:r>
      <w:r>
        <w:t xml:space="preserve">well-acknowledged barrier that hinders integration of educational technologies into teaching. The a-priori reluctance of our participants to incorporate e-learning in teaching, like that found in many other studies (e.g., Kim, 2006; </w:t>
      </w:r>
      <w:r>
        <w:fldChar w:fldCharType="begin"/>
      </w:r>
      <w:r>
        <w:instrText>ADDIN RW.CITE{{470 Raby, Carole 2011}}</w:instrText>
      </w:r>
      <w:r>
        <w:fldChar w:fldCharType="separate"/>
      </w:r>
      <w:r>
        <w:t>Raby &amp; Meunier, 2011;</w:t>
      </w:r>
      <w:r>
        <w:fldChar w:fldCharType="end"/>
      </w:r>
      <w:r>
        <w:rPr>
          <w:vertAlign w:val="superscript"/>
        </w:rPr>
        <w:t xml:space="preserve"> </w:t>
      </w:r>
      <w:r>
        <w:fldChar w:fldCharType="begin"/>
      </w:r>
      <w:r>
        <w:instrText>ADDIN RW.CITE{{331 Tondeur, Jo 2012}}</w:instrText>
      </w:r>
      <w:r>
        <w:fldChar w:fldCharType="separate"/>
      </w:r>
      <w:r>
        <w:t>Tondeur et al., 2012</w:t>
      </w:r>
      <w:r>
        <w:fldChar w:fldCharType="end"/>
      </w:r>
      <w:r>
        <w:fldChar w:fldCharType="begin"/>
      </w:r>
      <w:r>
        <w:instrText>ADDIN RW.CITE{{445 Kim, Sara 2006}}</w:instrText>
      </w:r>
      <w:r>
        <w:fldChar w:fldCharType="separate"/>
      </w:r>
      <w:r>
        <w:t>)</w:t>
      </w:r>
      <w:r>
        <w:fldChar w:fldCharType="end"/>
      </w:r>
      <w:r>
        <w:t>, co</w:t>
      </w:r>
      <w:r>
        <w:t>n</w:t>
      </w:r>
      <w:r>
        <w:t xml:space="preserve">firms the need for professional support to overcome these barriers. In light of the great potential of </w:t>
      </w:r>
      <w:proofErr w:type="spellStart"/>
      <w:r>
        <w:t>CoI</w:t>
      </w:r>
      <w:proofErr w:type="spellEnd"/>
      <w:r>
        <w:t xml:space="preserve"> as learning enhancers, our aim was to increase its utilization in medical courses, despite this widespread a-priori reluctance of medical educators to adopt it. So far, most scientific examinations of </w:t>
      </w:r>
      <w:proofErr w:type="spellStart"/>
      <w:r>
        <w:t>CoI</w:t>
      </w:r>
      <w:proofErr w:type="spellEnd"/>
      <w:r>
        <w:t xml:space="preserve"> discourse have focused on promoting discussion and acquisition of content knowledge (e.g., </w:t>
      </w:r>
      <w:r>
        <w:fldChar w:fldCharType="begin"/>
      </w:r>
      <w:r>
        <w:instrText>ADDIN RW.CITE{{495 Hasan, Helen 2003}}</w:instrText>
      </w:r>
      <w:r>
        <w:fldChar w:fldCharType="separate"/>
      </w:r>
      <w:r>
        <w:t>Hasan &amp; Crawford, 2003;</w:t>
      </w:r>
      <w:r>
        <w:fldChar w:fldCharType="end"/>
      </w:r>
      <w:r>
        <w:rPr>
          <w:vertAlign w:val="superscript"/>
        </w:rPr>
        <w:t xml:space="preserve"> </w:t>
      </w:r>
      <w:r>
        <w:fldChar w:fldCharType="begin"/>
      </w:r>
      <w:r>
        <w:instrText>ADDIN RW.CITE{{206 Prestridge, Sarah 2010}}</w:instrText>
      </w:r>
      <w:r>
        <w:fldChar w:fldCharType="separate"/>
      </w:r>
      <w:r>
        <w:t>Prestridge, 2010</w:t>
      </w:r>
      <w:r>
        <w:fldChar w:fldCharType="end"/>
      </w:r>
      <w:r>
        <w:t xml:space="preserve">). In contrast, in this study we investigated the attitudes of educators while they learn to integrate </w:t>
      </w:r>
      <w:proofErr w:type="spellStart"/>
      <w:r>
        <w:t>CoI</w:t>
      </w:r>
      <w:proofErr w:type="spellEnd"/>
      <w:r>
        <w:t xml:space="preserve"> into their teaching. Hence, this study extends TPACK and Assessment Knowledge by putting forward a methodology for incorporating a particular educational technology—</w:t>
      </w:r>
      <w:proofErr w:type="spellStart"/>
      <w:r>
        <w:t>CoI</w:t>
      </w:r>
      <w:proofErr w:type="spellEnd"/>
      <w:r>
        <w:t>—into teaching practice, by using the DTLAR.</w:t>
      </w:r>
    </w:p>
    <w:p w:rsidR="002B2887" w:rsidRDefault="007317BE" w:rsidP="009407F2">
      <w:r>
        <w:t xml:space="preserve">Our findings demonstrate the effectiveness of the DTLAR methodology we offer for encouraging educators to incorporate up-to-date teaching methodologies, </w:t>
      </w:r>
      <w:r w:rsidR="00764BB4">
        <w:t xml:space="preserve">specifically </w:t>
      </w:r>
      <w:proofErr w:type="spellStart"/>
      <w:r>
        <w:t>CoIs</w:t>
      </w:r>
      <w:proofErr w:type="spellEnd"/>
      <w:r>
        <w:t>, into their teaching. In particular, we found that the willingness of our participants to apply up-to-date teaching methodol</w:t>
      </w:r>
      <w:r>
        <w:t>o</w:t>
      </w:r>
      <w:r>
        <w:t xml:space="preserve">gies and </w:t>
      </w:r>
      <w:proofErr w:type="spellStart"/>
      <w:proofErr w:type="gramStart"/>
      <w:r>
        <w:t>CoIs</w:t>
      </w:r>
      <w:proofErr w:type="spellEnd"/>
      <w:proofErr w:type="gramEnd"/>
      <w:r>
        <w:t xml:space="preserve"> in their teaching increased after </w:t>
      </w:r>
      <w:r w:rsidR="00764BB4">
        <w:t>participating in the</w:t>
      </w:r>
      <w:r>
        <w:t xml:space="preserve"> program relative to the</w:t>
      </w:r>
      <w:r w:rsidR="00764BB4">
        <w:t>ir willingness before it. Our integrated analysis of</w:t>
      </w:r>
      <w:r>
        <w:t xml:space="preserve"> the </w:t>
      </w:r>
      <w:proofErr w:type="spellStart"/>
      <w:r>
        <w:t>CoI</w:t>
      </w:r>
      <w:proofErr w:type="spellEnd"/>
      <w:r>
        <w:t xml:space="preserve"> discourse and reflection together provided a detailed picture of participants</w:t>
      </w:r>
      <w:r w:rsidR="00045CD7">
        <w:t>’</w:t>
      </w:r>
      <w:r>
        <w:t xml:space="preserve"> attitudes, their </w:t>
      </w:r>
      <w:r w:rsidR="00764BB4">
        <w:t xml:space="preserve">attitude </w:t>
      </w:r>
      <w:r>
        <w:t>change</w:t>
      </w:r>
      <w:r w:rsidR="00764BB4">
        <w:t>s</w:t>
      </w:r>
      <w:r>
        <w:t xml:space="preserve"> as the program progressed, and their divers</w:t>
      </w:r>
      <w:r w:rsidR="00764BB4">
        <w:t>e responses</w:t>
      </w:r>
      <w:r>
        <w:t xml:space="preserve"> across </w:t>
      </w:r>
      <w:r w:rsidR="00764BB4">
        <w:t xml:space="preserve">multiple </w:t>
      </w:r>
      <w:r>
        <w:t xml:space="preserve">categories, which could not have been obtained by collecting only global </w:t>
      </w:r>
      <w:r>
        <w:lastRenderedPageBreak/>
        <w:t xml:space="preserve">self-reports or by examining each data source alone. For instance, </w:t>
      </w:r>
      <w:r w:rsidR="00F22545">
        <w:t>t</w:t>
      </w:r>
      <w:r>
        <w:t xml:space="preserve">he increase in positive attitudes in the cognitive domain, as measured in the transition from the </w:t>
      </w:r>
      <w:proofErr w:type="spellStart"/>
      <w:r>
        <w:t>CoI</w:t>
      </w:r>
      <w:proofErr w:type="spellEnd"/>
      <w:r>
        <w:t xml:space="preserve"> discourse to the reflections, suggest that the </w:t>
      </w:r>
      <w:proofErr w:type="spellStart"/>
      <w:r>
        <w:t>CoI</w:t>
      </w:r>
      <w:proofErr w:type="spellEnd"/>
      <w:r>
        <w:t xml:space="preserve"> experience was </w:t>
      </w:r>
      <w:r w:rsidR="001C3FCC">
        <w:t xml:space="preserve">better </w:t>
      </w:r>
      <w:r>
        <w:t>perceived in retrospect than during participation. We interpret the dominance of negative statements within the affect category in the reflections as expressing low co</w:t>
      </w:r>
      <w:r>
        <w:t>n</w:t>
      </w:r>
      <w:r>
        <w:t xml:space="preserve">fidence in using </w:t>
      </w:r>
      <w:proofErr w:type="spellStart"/>
      <w:r>
        <w:t>CoI</w:t>
      </w:r>
      <w:proofErr w:type="spellEnd"/>
      <w:r>
        <w:t xml:space="preserve">. Interestingly, </w:t>
      </w:r>
      <w:r w:rsidR="001C3FCC">
        <w:t>while participating in</w:t>
      </w:r>
      <w:r>
        <w:t xml:space="preserve"> the </w:t>
      </w:r>
      <w:proofErr w:type="spellStart"/>
      <w:r>
        <w:t>CoI</w:t>
      </w:r>
      <w:proofErr w:type="spellEnd"/>
      <w:r>
        <w:t xml:space="preserve"> participants did not indicate that the process was time consuming</w:t>
      </w:r>
      <w:r w:rsidR="001C3FCC">
        <w:t>. However,</w:t>
      </w:r>
      <w:r>
        <w:t xml:space="preserve"> in the reflections this </w:t>
      </w:r>
      <w:r w:rsidR="001C3FCC">
        <w:t>aspect</w:t>
      </w:r>
      <w:r>
        <w:t xml:space="preserve"> was </w:t>
      </w:r>
      <w:r w:rsidR="001C3FCC">
        <w:t>viewed</w:t>
      </w:r>
      <w:r>
        <w:t xml:space="preserve"> negative</w:t>
      </w:r>
      <w:r w:rsidR="001C3FCC">
        <w:t>ly</w:t>
      </w:r>
      <w:r>
        <w:t>. We see this finding to suggest that while engaging in interesting discussions time becomes secondary</w:t>
      </w:r>
      <w:r w:rsidR="001C3FCC">
        <w:t xml:space="preserve"> to the engagement in </w:t>
      </w:r>
      <w:r w:rsidR="00F9587B">
        <w:t xml:space="preserve">the </w:t>
      </w:r>
      <w:r w:rsidR="009407F2">
        <w:t>discussion</w:t>
      </w:r>
      <w:r>
        <w:t xml:space="preserve">. Indeed, the high rate of participation despite lack of external </w:t>
      </w:r>
      <w:r w:rsidR="002B2887">
        <w:t>incentive</w:t>
      </w:r>
      <w:r>
        <w:t xml:space="preserve"> (such as grade or monetary compensation) suggests that the participants found </w:t>
      </w:r>
      <w:proofErr w:type="spellStart"/>
      <w:r>
        <w:t>CoI</w:t>
      </w:r>
      <w:proofErr w:type="spellEnd"/>
      <w:r>
        <w:t xml:space="preserve"> activities to be beneficial. However, in retrospect, spending a lot of time on an activity, regardless of its contribution and level of engagement, is viewed negatively. </w:t>
      </w:r>
      <w:r w:rsidR="002B2887">
        <w:t>These</w:t>
      </w:r>
      <w:r w:rsidR="008D6FBA">
        <w:t xml:space="preserve"> finding</w:t>
      </w:r>
      <w:r w:rsidR="002B2887">
        <w:t>s</w:t>
      </w:r>
      <w:r w:rsidR="008D6FBA">
        <w:t xml:space="preserve"> </w:t>
      </w:r>
      <w:r w:rsidR="002B2887">
        <w:t>demonstrate</w:t>
      </w:r>
      <w:r w:rsidR="008D6FBA">
        <w:t xml:space="preserve"> the well-established ben</w:t>
      </w:r>
      <w:r w:rsidR="008D6FBA">
        <w:t>e</w:t>
      </w:r>
      <w:r w:rsidR="008D6FBA">
        <w:t xml:space="preserve">fits of reflection </w:t>
      </w:r>
      <w:r w:rsidR="002B2887">
        <w:t>for</w:t>
      </w:r>
      <w:r w:rsidR="008D6FBA">
        <w:t xml:space="preserve"> improving awareness of participants to the processes they go through while learning </w:t>
      </w:r>
      <w:r w:rsidR="008D6FBA">
        <w:fldChar w:fldCharType="begin"/>
      </w:r>
      <w:r w:rsidR="008D6FBA">
        <w:instrText>ADDIN RW.CITE{{302 Zohar, Anat 2008}}</w:instrText>
      </w:r>
      <w:r w:rsidR="008D6FBA">
        <w:fldChar w:fldCharType="separate"/>
      </w:r>
      <w:r w:rsidR="008D6FBA">
        <w:t xml:space="preserve">(Barak, Watted, &amp; Haick, 2016; Zohar &amp; David, 2008; Zohar &amp; Dori, 2012). </w:t>
      </w:r>
      <w:r w:rsidR="008D6FBA">
        <w:fldChar w:fldCharType="end"/>
      </w:r>
      <w:r w:rsidR="002B2887">
        <w:t xml:space="preserve">One of the </w:t>
      </w:r>
      <w:r w:rsidR="002B2887">
        <w:rPr>
          <w:color w:val="000000"/>
        </w:rPr>
        <w:t xml:space="preserve">Innovative Learning Environment </w:t>
      </w:r>
      <w:r w:rsidR="002B2887">
        <w:t xml:space="preserve">principles is to </w:t>
      </w:r>
      <w:r w:rsidR="00420957">
        <w:t>“</w:t>
      </w:r>
      <w:r w:rsidR="002B2887">
        <w:t xml:space="preserve">…have </w:t>
      </w:r>
      <w:proofErr w:type="gramStart"/>
      <w:r w:rsidR="002B2887">
        <w:t>learning</w:t>
      </w:r>
      <w:proofErr w:type="gramEnd"/>
      <w:r w:rsidR="002B2887">
        <w:t xml:space="preserve"> professionals who are highly a</w:t>
      </w:r>
      <w:r w:rsidR="002B2887">
        <w:t>t</w:t>
      </w:r>
      <w:r w:rsidR="002B2887">
        <w:t>tuned to the learners</w:t>
      </w:r>
      <w:r w:rsidR="00045CD7">
        <w:t>’</w:t>
      </w:r>
      <w:r w:rsidR="002B2887">
        <w:t xml:space="preserve"> motivations and the key role of emotions in achievement</w:t>
      </w:r>
      <w:r w:rsidR="00420957">
        <w:t>”</w:t>
      </w:r>
      <w:r w:rsidR="002B2887">
        <w:t xml:space="preserve"> (OECD, 2013, p. 16). Learning environments can facilitate or hinder motivation. It is important to note that people hold intrinsic motivation towards activities of personal interest (</w:t>
      </w:r>
      <w:proofErr w:type="spellStart"/>
      <w:r w:rsidR="002B2887">
        <w:t>Ainley</w:t>
      </w:r>
      <w:proofErr w:type="spellEnd"/>
      <w:r w:rsidR="00420957">
        <w:t>,</w:t>
      </w:r>
      <w:r w:rsidR="002B2887">
        <w:t xml:space="preserve"> </w:t>
      </w:r>
      <w:proofErr w:type="spellStart"/>
      <w:r w:rsidR="00420957" w:rsidRPr="006373B3">
        <w:rPr>
          <w:szCs w:val="18"/>
        </w:rPr>
        <w:t>Hidi</w:t>
      </w:r>
      <w:proofErr w:type="spellEnd"/>
      <w:r w:rsidR="00420957" w:rsidRPr="006373B3">
        <w:rPr>
          <w:szCs w:val="18"/>
        </w:rPr>
        <w:t xml:space="preserve">, &amp; </w:t>
      </w:r>
      <w:proofErr w:type="spellStart"/>
      <w:r w:rsidR="00420957" w:rsidRPr="006373B3">
        <w:rPr>
          <w:szCs w:val="18"/>
        </w:rPr>
        <w:t>Berndorff</w:t>
      </w:r>
      <w:proofErr w:type="spellEnd"/>
      <w:r w:rsidR="002B2887">
        <w:t>, 2002; Ryan &amp; Deci, 2000).</w:t>
      </w:r>
      <w:r w:rsidR="005D6AB6" w:rsidRPr="005D6AB6">
        <w:t xml:space="preserve"> </w:t>
      </w:r>
      <w:r w:rsidR="005D6AB6">
        <w:t xml:space="preserve">The present study demonstrates </w:t>
      </w:r>
      <w:r w:rsidR="0017639D">
        <w:t xml:space="preserve">motivating instruction by our </w:t>
      </w:r>
      <w:r w:rsidR="005D6AB6">
        <w:t xml:space="preserve">application of </w:t>
      </w:r>
      <w:proofErr w:type="spellStart"/>
      <w:r w:rsidR="005D6AB6">
        <w:t>CoI</w:t>
      </w:r>
      <w:proofErr w:type="spellEnd"/>
      <w:r w:rsidR="005D6AB6">
        <w:t xml:space="preserve"> as a facilitator for learning</w:t>
      </w:r>
      <w:r w:rsidR="004A6128">
        <w:t xml:space="preserve">. However, </w:t>
      </w:r>
      <w:r w:rsidR="005D6AB6">
        <w:t xml:space="preserve">clearly, designers should be </w:t>
      </w:r>
      <w:r w:rsidR="006F0A44">
        <w:t xml:space="preserve">also </w:t>
      </w:r>
      <w:r w:rsidR="005D6AB6">
        <w:t>aware to the potential o</w:t>
      </w:r>
      <w:r w:rsidR="005D6AB6">
        <w:t>b</w:t>
      </w:r>
      <w:r w:rsidR="005D6AB6">
        <w:t>stacles</w:t>
      </w:r>
      <w:r w:rsidR="00E16788">
        <w:t>, some of</w:t>
      </w:r>
      <w:r w:rsidR="006B7D23">
        <w:t xml:space="preserve"> </w:t>
      </w:r>
      <w:r w:rsidR="00661CB0">
        <w:t>which were</w:t>
      </w:r>
      <w:r w:rsidR="006B7D23">
        <w:t xml:space="preserve"> exposed </w:t>
      </w:r>
      <w:r w:rsidR="005E30E3">
        <w:t>in the present study</w:t>
      </w:r>
      <w:r w:rsidR="005D6AB6">
        <w:t>.</w:t>
      </w:r>
    </w:p>
    <w:p w:rsidR="006D50FE" w:rsidRDefault="00F22545" w:rsidP="00623E2B">
      <w:r>
        <w:t xml:space="preserve">A comparison across </w:t>
      </w:r>
      <w:proofErr w:type="spellStart"/>
      <w:r>
        <w:t>CoI</w:t>
      </w:r>
      <w:proofErr w:type="spellEnd"/>
      <w:r>
        <w:t xml:space="preserve"> topics revealed that there was no particular reluctance to engage in </w:t>
      </w:r>
      <w:proofErr w:type="spellStart"/>
      <w:proofErr w:type="gramStart"/>
      <w:r>
        <w:t>CoIs</w:t>
      </w:r>
      <w:proofErr w:type="spellEnd"/>
      <w:proofErr w:type="gramEnd"/>
      <w:r>
        <w:t xml:space="preserve"> on technological topics. Had such reluctance </w:t>
      </w:r>
      <w:r w:rsidR="00975A9D">
        <w:t>emerge</w:t>
      </w:r>
      <w:r w:rsidR="00BB60C9">
        <w:t>d</w:t>
      </w:r>
      <w:r>
        <w:t xml:space="preserve"> in another population</w:t>
      </w:r>
      <w:r w:rsidR="00452974">
        <w:t xml:space="preserve"> or context</w:t>
      </w:r>
      <w:r>
        <w:t xml:space="preserve">, it may guide </w:t>
      </w:r>
      <w:r w:rsidR="00BB60C9">
        <w:t xml:space="preserve">researchers to </w:t>
      </w:r>
      <w:r>
        <w:t xml:space="preserve">focus on these topics </w:t>
      </w:r>
      <w:r w:rsidR="00BB60C9">
        <w:t>in</w:t>
      </w:r>
      <w:r>
        <w:t xml:space="preserve"> future discussions within program </w:t>
      </w:r>
      <w:r w:rsidR="00BB60C9">
        <w:t xml:space="preserve">development </w:t>
      </w:r>
      <w:r>
        <w:t xml:space="preserve">or with follow up activities. </w:t>
      </w:r>
      <w:r w:rsidR="007317BE">
        <w:t xml:space="preserve">An important issue to be investigated is the sustainability of a positive attitude towards </w:t>
      </w:r>
      <w:proofErr w:type="spellStart"/>
      <w:r w:rsidR="007317BE">
        <w:t>CoI</w:t>
      </w:r>
      <w:proofErr w:type="spellEnd"/>
      <w:r w:rsidR="007317BE">
        <w:t xml:space="preserve"> in the long </w:t>
      </w:r>
      <w:r w:rsidR="00623E2B">
        <w:t>term</w:t>
      </w:r>
      <w:r w:rsidR="007317BE">
        <w:t xml:space="preserve"> and the conditions for achieving </w:t>
      </w:r>
      <w:r w:rsidR="00623E2B">
        <w:t xml:space="preserve">successful </w:t>
      </w:r>
      <w:proofErr w:type="spellStart"/>
      <w:r w:rsidR="007317BE">
        <w:t>CoI</w:t>
      </w:r>
      <w:proofErr w:type="spellEnd"/>
      <w:r w:rsidR="007317BE">
        <w:t xml:space="preserve"> incorporation into teaching.</w:t>
      </w:r>
    </w:p>
    <w:p w:rsidR="00623E2B" w:rsidRDefault="00623E2B" w:rsidP="00623E2B">
      <w:r>
        <w:t xml:space="preserve">We included in the DTLAR </w:t>
      </w:r>
      <w:proofErr w:type="spellStart"/>
      <w:r>
        <w:t>CoI</w:t>
      </w:r>
      <w:proofErr w:type="spellEnd"/>
      <w:r>
        <w:t xml:space="preserve"> discourse and reflection as information sources. Clearly, it can be extended furthermore to include additional data sources, such as observations, thinking aloud prot</w:t>
      </w:r>
      <w:r>
        <w:t>o</w:t>
      </w:r>
      <w:r>
        <w:t>cols, and reflections about other activities for promoting assimilation of instructional methodologies (e.g.</w:t>
      </w:r>
      <w:r w:rsidR="00420957">
        <w:t>,</w:t>
      </w:r>
      <w:r>
        <w:t xml:space="preserve"> </w:t>
      </w:r>
      <w:proofErr w:type="spellStart"/>
      <w:r>
        <w:t>Azevedo</w:t>
      </w:r>
      <w:proofErr w:type="spellEnd"/>
      <w:r>
        <w:t xml:space="preserve">, </w:t>
      </w:r>
      <w:proofErr w:type="spellStart"/>
      <w:r>
        <w:t>Reategui</w:t>
      </w:r>
      <w:proofErr w:type="spellEnd"/>
      <w:r>
        <w:t xml:space="preserve">, &amp; Behar, 2014; </w:t>
      </w:r>
      <w:r>
        <w:fldChar w:fldCharType="begin"/>
      </w:r>
      <w:r>
        <w:instrText>ADDIN RW.CITE{{334 Jang, Syh-Jong 2008}}</w:instrText>
      </w:r>
      <w:r>
        <w:fldChar w:fldCharType="separate"/>
      </w:r>
      <w:r>
        <w:t xml:space="preserve">Jang, 2008; </w:t>
      </w:r>
      <w:r>
        <w:fldChar w:fldCharType="begin"/>
      </w:r>
      <w:r>
        <w:instrText>ADDIN RW.CITE{{497 O'reilly, Declan 2003}}</w:instrText>
      </w:r>
      <w:r>
        <w:fldChar w:fldCharType="separate"/>
      </w:r>
      <w:r>
        <w:t>O</w:t>
      </w:r>
      <w:r w:rsidR="00045CD7">
        <w:t>’</w:t>
      </w:r>
      <w:r>
        <w:t>reilly, 2003</w:t>
      </w:r>
      <w:r>
        <w:fldChar w:fldCharType="end"/>
      </w:r>
      <w:r>
        <w:t xml:space="preserve">; </w:t>
      </w:r>
      <w:r>
        <w:fldChar w:fldCharType="end"/>
      </w:r>
      <w:r>
        <w:t xml:space="preserve"> </w:t>
      </w:r>
      <w:r>
        <w:fldChar w:fldCharType="begin"/>
      </w:r>
      <w:r>
        <w:instrText>ADDIN RW.CITE{{454 Tearle, Penni 2008}}</w:instrText>
      </w:r>
      <w:r>
        <w:fldChar w:fldCharType="separate"/>
      </w:r>
      <w:r>
        <w:t>Tearle &amp; Golder, 2008).</w:t>
      </w:r>
      <w:r>
        <w:fldChar w:fldCharType="end"/>
      </w:r>
      <w:r>
        <w:t xml:space="preserve"> </w:t>
      </w:r>
    </w:p>
    <w:p w:rsidR="006D50FE" w:rsidRDefault="007317BE" w:rsidP="00263BE8">
      <w:r>
        <w:t xml:space="preserve">One of the contributions of the present study is </w:t>
      </w:r>
      <w:r w:rsidR="00F03F84">
        <w:t>our diagnostic tool, DTLAR, as part of teachers</w:t>
      </w:r>
      <w:r w:rsidR="00045CD7">
        <w:t>’</w:t>
      </w:r>
      <w:r w:rsidR="00F03F84">
        <w:t xml:space="preserve"> </w:t>
      </w:r>
      <w:r>
        <w:t xml:space="preserve">Assessment Knowledge </w:t>
      </w:r>
      <w:r w:rsidR="00F03F84">
        <w:t xml:space="preserve">that </w:t>
      </w:r>
      <w:r>
        <w:t xml:space="preserve">we added to TPACK. </w:t>
      </w:r>
      <w:r w:rsidR="00263BE8">
        <w:t>Few</w:t>
      </w:r>
      <w:r>
        <w:t xml:space="preserve"> studies </w:t>
      </w:r>
      <w:r w:rsidR="00263BE8">
        <w:t xml:space="preserve">have </w:t>
      </w:r>
      <w:r>
        <w:t>investigated teachers</w:t>
      </w:r>
      <w:r w:rsidR="00045CD7">
        <w:t>’</w:t>
      </w:r>
      <w:r>
        <w:t xml:space="preserve"> Asses</w:t>
      </w:r>
      <w:r>
        <w:t>s</w:t>
      </w:r>
      <w:r>
        <w:t xml:space="preserve">ment Knowledge (see </w:t>
      </w:r>
      <w:proofErr w:type="spellStart"/>
      <w:r>
        <w:t>Abell</w:t>
      </w:r>
      <w:proofErr w:type="spellEnd"/>
      <w:r>
        <w:t xml:space="preserve">, 2007) and our study is the first one in medical education. </w:t>
      </w:r>
      <w:proofErr w:type="spellStart"/>
      <w:r>
        <w:t>Avargil</w:t>
      </w:r>
      <w:proofErr w:type="spellEnd"/>
      <w:r>
        <w:t xml:space="preserve"> et al. (2012) and Dori and </w:t>
      </w:r>
      <w:proofErr w:type="spellStart"/>
      <w:r>
        <w:t>Avargil</w:t>
      </w:r>
      <w:proofErr w:type="spellEnd"/>
      <w:r>
        <w:t xml:space="preserve"> (2015) shed some light on the connection of Assessment Knowledge in relation to other types of knowledge teachers possess; they found that Assessment Knowledge pos</w:t>
      </w:r>
      <w:r>
        <w:t>i</w:t>
      </w:r>
      <w:r>
        <w:t xml:space="preserve">tion is above Pedagogical Content Knowledge and requires on-going professional development. </w:t>
      </w:r>
    </w:p>
    <w:p w:rsidR="006D50FE" w:rsidRDefault="007317BE">
      <w:r>
        <w:t>As we demonstrated, the DTLAR can serve as a diagnostic tool for learning, assessment, and r</w:t>
      </w:r>
      <w:r>
        <w:t>e</w:t>
      </w:r>
      <w:r>
        <w:t>search that provides unique benefits for students, teachers, and researchers. Students can use DTLAR to monitor and reflect upon their learning progress. Teachers are able to evaluate their students</w:t>
      </w:r>
      <w:r w:rsidR="00045CD7">
        <w:t>’</w:t>
      </w:r>
      <w:r>
        <w:t xml:space="preserve"> learning outcomes by analyzing discourse and reflection characteristics. Finally, researchers and pr</w:t>
      </w:r>
      <w:r>
        <w:t>o</w:t>
      </w:r>
      <w:r>
        <w:t>gram designers can use this tool as a means to (a) gauge educators</w:t>
      </w:r>
      <w:r w:rsidR="00045CD7">
        <w:t>’</w:t>
      </w:r>
      <w:r>
        <w:t xml:space="preserve"> readiness to incorporate specific educational technologies, (b) detect related concerns and challenges, and (c) compare findings among different studies obtained through DTLAR.</w:t>
      </w:r>
    </w:p>
    <w:p w:rsidR="006D50FE" w:rsidRDefault="007317BE">
      <w:r>
        <w:t>DTLAR is not specific to the medical context—it can be readily applied to other educational settings. This tool can be implemented at three levels: the participant level, the designer and instructor level, and the organization level</w:t>
      </w:r>
      <w:r>
        <w:rPr>
          <w:rtl/>
        </w:rPr>
        <w:t>.</w:t>
      </w:r>
      <w:r>
        <w:t xml:space="preserve"> Each level can adapt it to its needs. The participants are expected to b</w:t>
      </w:r>
      <w:r>
        <w:t>e</w:t>
      </w:r>
      <w:r>
        <w:t>come more aware of their learning process and pedagogical challenges. The designers and instructors may discover points for improvement and use the collected data for amendment of educational pr</w:t>
      </w:r>
      <w:r>
        <w:t>o</w:t>
      </w:r>
      <w:r>
        <w:t xml:space="preserve">grams and for individualized support (e.g., leveraging confidence or enhancing participant skills). In particular, the individualized analysis demonstrated here (Figure 5) can shed light on obstacles at the </w:t>
      </w:r>
      <w:r>
        <w:lastRenderedPageBreak/>
        <w:t>individual level. The organization can generalize the exposed attitudes, readiness, challenges, and s</w:t>
      </w:r>
      <w:r>
        <w:t>o</w:t>
      </w:r>
      <w:r>
        <w:t xml:space="preserve">lutions, and apply them to other team development programs. Clearly, further research is necessary for establishing the effect of various factors involved, such as experiencing </w:t>
      </w:r>
      <w:proofErr w:type="spellStart"/>
      <w:r>
        <w:t>CoI</w:t>
      </w:r>
      <w:proofErr w:type="spellEnd"/>
      <w:r>
        <w:t xml:space="preserve">, reflection on its adaption, topic choice, and the hybrid mode we used which combined face-to-face and remote </w:t>
      </w:r>
      <w:proofErr w:type="spellStart"/>
      <w:r>
        <w:t>CoIs</w:t>
      </w:r>
      <w:proofErr w:type="spellEnd"/>
      <w:r>
        <w:t xml:space="preserve">. </w:t>
      </w:r>
    </w:p>
    <w:p w:rsidR="006D50FE" w:rsidRDefault="007317BE" w:rsidP="00D870C4">
      <w:r>
        <w:t xml:space="preserve">Two characteristics of our </w:t>
      </w:r>
      <w:proofErr w:type="spellStart"/>
      <w:r>
        <w:t>CoI</w:t>
      </w:r>
      <w:proofErr w:type="spellEnd"/>
      <w:r>
        <w:t xml:space="preserve"> implementation should be noted. </w:t>
      </w:r>
      <w:r w:rsidR="00D870C4">
        <w:t>F</w:t>
      </w:r>
      <w:r>
        <w:t>irst</w:t>
      </w:r>
      <w:r w:rsidR="00D870C4">
        <w:t>,</w:t>
      </w:r>
      <w:r>
        <w:t xml:space="preserve"> the lack of enforcing partic</w:t>
      </w:r>
      <w:r>
        <w:t>i</w:t>
      </w:r>
      <w:r>
        <w:t xml:space="preserve">pation in the </w:t>
      </w:r>
      <w:proofErr w:type="spellStart"/>
      <w:proofErr w:type="gramStart"/>
      <w:r>
        <w:t>CoIs</w:t>
      </w:r>
      <w:proofErr w:type="spellEnd"/>
      <w:proofErr w:type="gramEnd"/>
      <w:r>
        <w:t>. While designing the program, we decided in favor of non-mandatory particip</w:t>
      </w:r>
      <w:r>
        <w:t>a</w:t>
      </w:r>
      <w:r>
        <w:t>tion. In retrospect, this was most appropriate for the population of medical educators, and the pa</w:t>
      </w:r>
      <w:r>
        <w:t>r</w:t>
      </w:r>
      <w:r>
        <w:t xml:space="preserve">ticipation level was more than satisfactory. Future studies should examine the effect of mandatory participation and conditions which are necessary, desirable, or should be avoided. </w:t>
      </w:r>
    </w:p>
    <w:p w:rsidR="006D50FE" w:rsidRDefault="00D870C4">
      <w:r>
        <w:t>The</w:t>
      </w:r>
      <w:r w:rsidR="007317BE">
        <w:t xml:space="preserve"> second central characteristic of our faculty development program is </w:t>
      </w:r>
      <w:r>
        <w:t xml:space="preserve">the </w:t>
      </w:r>
      <w:r w:rsidR="007317BE">
        <w:t xml:space="preserve">hands-on experience of </w:t>
      </w:r>
      <w:proofErr w:type="spellStart"/>
      <w:r w:rsidR="007317BE">
        <w:t>CoI</w:t>
      </w:r>
      <w:proofErr w:type="spellEnd"/>
      <w:r w:rsidR="007317BE">
        <w:t xml:space="preserve"> facilitation. We explored the challenges and consequences of letting participants facilitate </w:t>
      </w:r>
      <w:proofErr w:type="spellStart"/>
      <w:r w:rsidR="007317BE">
        <w:t>CoIs</w:t>
      </w:r>
      <w:proofErr w:type="spellEnd"/>
      <w:r w:rsidR="007317BE">
        <w:t>. Clearly, the facilitators gained rich and</w:t>
      </w:r>
      <w:r w:rsidR="007317BE">
        <w:rPr>
          <w:b/>
          <w:bCs/>
        </w:rPr>
        <w:t xml:space="preserve"> </w:t>
      </w:r>
      <w:r w:rsidR="007317BE">
        <w:t>important experience, as reflected in their discourse and r</w:t>
      </w:r>
      <w:r w:rsidR="007317BE">
        <w:t>e</w:t>
      </w:r>
      <w:r w:rsidR="007317BE">
        <w:t xml:space="preserve">flection. There are questions concerning the desirable implementation, including the reason for the lower quantity of positive statements in the </w:t>
      </w:r>
      <w:proofErr w:type="spellStart"/>
      <w:proofErr w:type="gramStart"/>
      <w:r w:rsidR="007317BE">
        <w:t>CoIs</w:t>
      </w:r>
      <w:proofErr w:type="spellEnd"/>
      <w:proofErr w:type="gramEnd"/>
      <w:r w:rsidR="007317BE">
        <w:t xml:space="preserve"> facilitated by participants and the kind of support educators need before becoming effective </w:t>
      </w:r>
      <w:proofErr w:type="spellStart"/>
      <w:r w:rsidR="007317BE">
        <w:t>CoI</w:t>
      </w:r>
      <w:proofErr w:type="spellEnd"/>
      <w:r w:rsidR="007317BE">
        <w:t xml:space="preserve"> facilitators. For example, one participant suggested that more specific guidance is desirable before engaging in </w:t>
      </w:r>
      <w:proofErr w:type="spellStart"/>
      <w:r w:rsidR="007317BE">
        <w:t>CoI</w:t>
      </w:r>
      <w:proofErr w:type="spellEnd"/>
      <w:r w:rsidR="007317BE">
        <w:t xml:space="preserve"> facilitating, which is in line with TPACK principles </w:t>
      </w:r>
      <w:r w:rsidR="007317BE">
        <w:fldChar w:fldCharType="begin"/>
      </w:r>
      <w:r w:rsidR="007317BE">
        <w:instrText>ADDIN RW.CITE{{238 Angeli, Charoula 2008}}</w:instrText>
      </w:r>
      <w:r w:rsidR="007317BE">
        <w:fldChar w:fldCharType="separate"/>
      </w:r>
      <w:r w:rsidR="007317BE">
        <w:t>(Angeli &amp; Valanides, 2008;</w:t>
      </w:r>
      <w:r w:rsidR="007317BE">
        <w:fldChar w:fldCharType="end"/>
      </w:r>
      <w:r w:rsidR="007317BE">
        <w:rPr>
          <w:vertAlign w:val="superscript"/>
        </w:rPr>
        <w:t xml:space="preserve"> </w:t>
      </w:r>
      <w:r w:rsidR="007317BE">
        <w:fldChar w:fldCharType="begin"/>
      </w:r>
      <w:r w:rsidR="007317BE">
        <w:instrText>ADDIN RW.CITE{{479 Kramarski,Bracha 2013}}</w:instrText>
      </w:r>
      <w:r w:rsidR="007317BE">
        <w:fldChar w:fldCharType="separate"/>
      </w:r>
      <w:r w:rsidR="007317BE">
        <w:t xml:space="preserve">Kramarski &amp; Michalsky, 2013). </w:t>
      </w:r>
      <w:r w:rsidR="007317BE">
        <w:fldChar w:fldCharType="end"/>
      </w:r>
      <w:r w:rsidR="007317BE">
        <w:t>Another interesting research question is how the facilitation style affects participants</w:t>
      </w:r>
      <w:r w:rsidR="00045CD7">
        <w:t>’</w:t>
      </w:r>
      <w:r w:rsidR="007317BE">
        <w:t xml:space="preserve"> experience. </w:t>
      </w:r>
    </w:p>
    <w:p w:rsidR="006D50FE" w:rsidRDefault="007317BE" w:rsidP="002C2C65">
      <w:pPr>
        <w:pStyle w:val="Heading1"/>
        <w:rPr>
          <w:iCs/>
        </w:rPr>
      </w:pPr>
      <w:r>
        <w:t>Conclusion</w:t>
      </w:r>
    </w:p>
    <w:p w:rsidR="006D50FE" w:rsidRDefault="007317BE" w:rsidP="00D870C4">
      <w:pPr>
        <w:rPr>
          <w:rFonts w:eastAsia="SimSun"/>
          <w:b/>
          <w:bCs/>
        </w:rPr>
      </w:pPr>
      <w:r>
        <w:t xml:space="preserve">This study suggests that virtual </w:t>
      </w:r>
      <w:proofErr w:type="spellStart"/>
      <w:proofErr w:type="gramStart"/>
      <w:r>
        <w:t>CoIs</w:t>
      </w:r>
      <w:proofErr w:type="spellEnd"/>
      <w:proofErr w:type="gramEnd"/>
      <w:r>
        <w:t xml:space="preserve"> </w:t>
      </w:r>
      <w:r w:rsidR="00D870C4">
        <w:t>can be</w:t>
      </w:r>
      <w:r>
        <w:t xml:space="preserve"> effective and </w:t>
      </w:r>
      <w:r w:rsidR="00D870C4">
        <w:t xml:space="preserve">applicable for </w:t>
      </w:r>
      <w:r>
        <w:t>extend</w:t>
      </w:r>
      <w:r w:rsidR="00D870C4">
        <w:t>ing</w:t>
      </w:r>
      <w:r>
        <w:t xml:space="preserve"> well-established benefits of face-to-face </w:t>
      </w:r>
      <w:proofErr w:type="spellStart"/>
      <w:r>
        <w:t>CoIs</w:t>
      </w:r>
      <w:proofErr w:type="spellEnd"/>
      <w:r w:rsidR="00961897">
        <w:t>.</w:t>
      </w:r>
      <w:r>
        <w:t xml:space="preserve"> </w:t>
      </w:r>
      <w:r>
        <w:fldChar w:fldCharType="begin"/>
      </w:r>
      <w:r>
        <w:instrText>ADDIN RW.CITE{{43 Kramarski,B. 2009; 390 Kramarski, Bracha 2010; 206 Prestridge, Sarah 2010}}</w:instrText>
      </w:r>
      <w:r>
        <w:fldChar w:fldCharType="end"/>
      </w:r>
      <w:r>
        <w:t xml:space="preserve">In view of this, potential positive effects of incorporating virtual </w:t>
      </w:r>
      <w:proofErr w:type="spellStart"/>
      <w:r>
        <w:t>CoIs</w:t>
      </w:r>
      <w:proofErr w:type="spellEnd"/>
      <w:r>
        <w:t xml:space="preserve"> into adult training programs in various domains should be examined. In particular, faculty develo</w:t>
      </w:r>
      <w:r>
        <w:t>p</w:t>
      </w:r>
      <w:r>
        <w:t>ment programs have great potential for enhancing technological and up-to-date teaching methodol</w:t>
      </w:r>
      <w:r>
        <w:t>o</w:t>
      </w:r>
      <w:r>
        <w:t>gies. We hope that DTLAR can be instrumental in this endeavor.</w:t>
      </w:r>
    </w:p>
    <w:p w:rsidR="006D50FE" w:rsidRDefault="007317BE">
      <w:pPr>
        <w:pStyle w:val="Heading1"/>
      </w:pPr>
      <w:r>
        <w:t xml:space="preserve">References </w:t>
      </w:r>
    </w:p>
    <w:p w:rsidR="006373B3" w:rsidRDefault="007317BE" w:rsidP="003D250C">
      <w:pPr>
        <w:pStyle w:val="References"/>
      </w:pPr>
      <w:proofErr w:type="spellStart"/>
      <w:r w:rsidRPr="00A979E2">
        <w:t>Abell</w:t>
      </w:r>
      <w:proofErr w:type="spellEnd"/>
      <w:r w:rsidRPr="00A979E2">
        <w:t xml:space="preserve">, S. K. (2007). </w:t>
      </w:r>
      <w:proofErr w:type="gramStart"/>
      <w:r w:rsidRPr="00A979E2">
        <w:t>Research on science teacher knowledge.</w:t>
      </w:r>
      <w:proofErr w:type="gramEnd"/>
      <w:r w:rsidRPr="00A979E2">
        <w:t xml:space="preserve"> </w:t>
      </w:r>
      <w:proofErr w:type="gramStart"/>
      <w:r w:rsidRPr="00A979E2">
        <w:t xml:space="preserve">In S.K. </w:t>
      </w:r>
      <w:proofErr w:type="spellStart"/>
      <w:r w:rsidRPr="00A979E2">
        <w:t>Abell</w:t>
      </w:r>
      <w:proofErr w:type="spellEnd"/>
      <w:r w:rsidRPr="00A979E2">
        <w:t xml:space="preserve"> and N.G. Lederman (Eds.), </w:t>
      </w:r>
      <w:r w:rsidRPr="00A979E2">
        <w:rPr>
          <w:i/>
          <w:iCs/>
        </w:rPr>
        <w:t>Research on Science Teacher Education</w:t>
      </w:r>
      <w:r w:rsidRPr="00A979E2">
        <w:t xml:space="preserve"> (pp.1105-1149), New York: Routledge.</w:t>
      </w:r>
      <w:proofErr w:type="gramEnd"/>
    </w:p>
    <w:p w:rsidR="006373B3" w:rsidRPr="006373B3" w:rsidRDefault="006373B3" w:rsidP="003D250C">
      <w:pPr>
        <w:pStyle w:val="References"/>
        <w:rPr>
          <w:sz w:val="16"/>
          <w:szCs w:val="16"/>
        </w:rPr>
      </w:pPr>
      <w:proofErr w:type="spellStart"/>
      <w:proofErr w:type="gramStart"/>
      <w:r w:rsidRPr="006373B3">
        <w:rPr>
          <w:szCs w:val="18"/>
        </w:rPr>
        <w:t>Ainley</w:t>
      </w:r>
      <w:proofErr w:type="spellEnd"/>
      <w:r w:rsidRPr="006373B3">
        <w:rPr>
          <w:szCs w:val="18"/>
        </w:rPr>
        <w:t xml:space="preserve">, M., </w:t>
      </w:r>
      <w:proofErr w:type="spellStart"/>
      <w:r w:rsidRPr="006373B3">
        <w:rPr>
          <w:szCs w:val="18"/>
        </w:rPr>
        <w:t>Hidi</w:t>
      </w:r>
      <w:proofErr w:type="spellEnd"/>
      <w:r w:rsidRPr="006373B3">
        <w:rPr>
          <w:szCs w:val="18"/>
        </w:rPr>
        <w:t xml:space="preserve">, S., &amp; </w:t>
      </w:r>
      <w:proofErr w:type="spellStart"/>
      <w:r w:rsidRPr="006373B3">
        <w:rPr>
          <w:szCs w:val="18"/>
        </w:rPr>
        <w:t>Berndorff</w:t>
      </w:r>
      <w:proofErr w:type="spellEnd"/>
      <w:r w:rsidRPr="006373B3">
        <w:rPr>
          <w:szCs w:val="18"/>
        </w:rPr>
        <w:t>, D. (2002).</w:t>
      </w:r>
      <w:proofErr w:type="gramEnd"/>
      <w:r w:rsidRPr="006373B3">
        <w:rPr>
          <w:szCs w:val="18"/>
        </w:rPr>
        <w:t xml:space="preserve"> </w:t>
      </w:r>
      <w:proofErr w:type="gramStart"/>
      <w:r w:rsidRPr="006373B3">
        <w:rPr>
          <w:szCs w:val="18"/>
        </w:rPr>
        <w:t>Interest, learning, and the psychological processes that mediate their relationship.</w:t>
      </w:r>
      <w:proofErr w:type="gramEnd"/>
      <w:r w:rsidRPr="006373B3">
        <w:rPr>
          <w:szCs w:val="18"/>
        </w:rPr>
        <w:t xml:space="preserve"> </w:t>
      </w:r>
      <w:r w:rsidRPr="006373B3">
        <w:rPr>
          <w:i/>
          <w:iCs/>
          <w:szCs w:val="18"/>
        </w:rPr>
        <w:t>Journal of Educational Psychology</w:t>
      </w:r>
      <w:r w:rsidRPr="006373B3">
        <w:rPr>
          <w:szCs w:val="18"/>
        </w:rPr>
        <w:t xml:space="preserve">, </w:t>
      </w:r>
      <w:r w:rsidRPr="006373B3">
        <w:rPr>
          <w:i/>
          <w:iCs/>
          <w:szCs w:val="18"/>
        </w:rPr>
        <w:t>94</w:t>
      </w:r>
      <w:r w:rsidRPr="006373B3">
        <w:rPr>
          <w:szCs w:val="18"/>
        </w:rPr>
        <w:t xml:space="preserve">(3), 545–561. </w:t>
      </w:r>
    </w:p>
    <w:p w:rsidR="006D50FE" w:rsidRPr="00A979E2" w:rsidRDefault="007317BE" w:rsidP="003D250C">
      <w:pPr>
        <w:pStyle w:val="References"/>
      </w:pPr>
      <w:r w:rsidRPr="00A979E2">
        <w:rPr>
          <w:lang w:val="de-CH"/>
        </w:rPr>
        <w:t xml:space="preserve">Albion, P. R., Tondeur, J., Forkosh-Baruch, A., &amp; Peeraer, J. (2015). </w:t>
      </w:r>
      <w:r w:rsidRPr="00A979E2">
        <w:t>Teachers</w:t>
      </w:r>
      <w:r w:rsidR="00045CD7">
        <w:t>’</w:t>
      </w:r>
      <w:r w:rsidRPr="00A979E2">
        <w:t xml:space="preserve"> professional development for ICT integration: towards a reciprocal relationship between research and practice. </w:t>
      </w:r>
      <w:r w:rsidRPr="00A979E2">
        <w:rPr>
          <w:i/>
          <w:iCs/>
        </w:rPr>
        <w:t>Education and Information Technologies, 20</w:t>
      </w:r>
      <w:r w:rsidRPr="00A979E2">
        <w:t>(4), 655-673.</w:t>
      </w:r>
    </w:p>
    <w:p w:rsidR="006D50FE" w:rsidRPr="00A979E2" w:rsidRDefault="007317BE" w:rsidP="003D250C">
      <w:pPr>
        <w:pStyle w:val="References"/>
      </w:pPr>
      <w:proofErr w:type="spellStart"/>
      <w:proofErr w:type="gramStart"/>
      <w:r w:rsidRPr="00A979E2">
        <w:t>Angeli</w:t>
      </w:r>
      <w:proofErr w:type="spellEnd"/>
      <w:r w:rsidRPr="00A979E2">
        <w:t xml:space="preserve">, C., &amp; </w:t>
      </w:r>
      <w:proofErr w:type="spellStart"/>
      <w:r w:rsidRPr="00A979E2">
        <w:t>Valanides</w:t>
      </w:r>
      <w:proofErr w:type="spellEnd"/>
      <w:r w:rsidRPr="00A979E2">
        <w:t>, N. (2009).</w:t>
      </w:r>
      <w:proofErr w:type="gramEnd"/>
      <w:r w:rsidRPr="00A979E2">
        <w:t xml:space="preserve"> Epistemological and methodological issues for the conceptualization, deve</w:t>
      </w:r>
      <w:r w:rsidRPr="00A979E2">
        <w:t>l</w:t>
      </w:r>
      <w:r w:rsidRPr="00A979E2">
        <w:t>opment, and assessment of ICT–TPCK: Advances in technological pedagogical content knowledge (TPCK).</w:t>
      </w:r>
      <w:r w:rsidRPr="00A979E2">
        <w:rPr>
          <w:i/>
          <w:iCs/>
        </w:rPr>
        <w:t xml:space="preserve"> Computers &amp; Education, 52</w:t>
      </w:r>
      <w:r w:rsidRPr="00A979E2">
        <w:t xml:space="preserve">(1), 154-168. </w:t>
      </w:r>
    </w:p>
    <w:p w:rsidR="006D50FE" w:rsidRPr="00A979E2" w:rsidRDefault="007317BE" w:rsidP="003D250C">
      <w:pPr>
        <w:pStyle w:val="References"/>
      </w:pPr>
      <w:r w:rsidRPr="00A979E2">
        <w:rPr>
          <w:lang w:val="de-CH"/>
        </w:rPr>
        <w:t xml:space="preserve">Alvarez, I., Guasch, T., &amp; Espasa, A. (2009). </w:t>
      </w:r>
      <w:r w:rsidRPr="00A979E2">
        <w:t>University teacher roles and competencies in online learning env</w:t>
      </w:r>
      <w:r w:rsidRPr="00A979E2">
        <w:t>i</w:t>
      </w:r>
      <w:r w:rsidRPr="00A979E2">
        <w:t xml:space="preserve">ronments: a theoretical analysis of teaching and learning practices. </w:t>
      </w:r>
      <w:r w:rsidRPr="00A979E2">
        <w:rPr>
          <w:i/>
          <w:iCs/>
        </w:rPr>
        <w:t>European Journal of Teacher Education, 32</w:t>
      </w:r>
      <w:r w:rsidRPr="00A979E2">
        <w:t>(3), 321-336.</w:t>
      </w:r>
    </w:p>
    <w:p w:rsidR="006D50FE" w:rsidRPr="00A979E2" w:rsidRDefault="007317BE" w:rsidP="003D250C">
      <w:pPr>
        <w:pStyle w:val="References"/>
      </w:pPr>
      <w:proofErr w:type="spellStart"/>
      <w:proofErr w:type="gramStart"/>
      <w:r w:rsidRPr="00A979E2">
        <w:t>Arbaugh</w:t>
      </w:r>
      <w:proofErr w:type="spellEnd"/>
      <w:r w:rsidRPr="00A979E2">
        <w:t xml:space="preserve">, J., </w:t>
      </w:r>
      <w:proofErr w:type="spellStart"/>
      <w:r w:rsidRPr="00A979E2">
        <w:t>Bangert</w:t>
      </w:r>
      <w:proofErr w:type="spellEnd"/>
      <w:r w:rsidRPr="00A979E2">
        <w:t>, A., &amp; Cleveland-Innes, M. (2010).</w:t>
      </w:r>
      <w:proofErr w:type="gramEnd"/>
      <w:r w:rsidRPr="00A979E2">
        <w:t xml:space="preserve"> Subject matter effects and the community of inquiry (</w:t>
      </w:r>
      <w:proofErr w:type="spellStart"/>
      <w:r w:rsidRPr="00A979E2">
        <w:t>CoI</w:t>
      </w:r>
      <w:proofErr w:type="spellEnd"/>
      <w:r w:rsidRPr="00A979E2">
        <w:t>) framework: An exploratory study.</w:t>
      </w:r>
      <w:r w:rsidRPr="00A979E2">
        <w:rPr>
          <w:i/>
          <w:iCs/>
        </w:rPr>
        <w:t xml:space="preserve"> The Internet and Higher Education, 13</w:t>
      </w:r>
      <w:r w:rsidRPr="00A979E2">
        <w:t xml:space="preserve">(1), 37-44. </w:t>
      </w:r>
    </w:p>
    <w:p w:rsidR="006D50FE" w:rsidRPr="00A979E2" w:rsidRDefault="007317BE" w:rsidP="003D250C">
      <w:pPr>
        <w:pStyle w:val="References"/>
      </w:pPr>
      <w:r w:rsidRPr="00A979E2">
        <w:t>Aronson, L. (2011). Twelve tips for teaching reflection at all levels of medical education.</w:t>
      </w:r>
      <w:r w:rsidRPr="00A979E2">
        <w:rPr>
          <w:i/>
          <w:iCs/>
        </w:rPr>
        <w:t xml:space="preserve"> Medical Teacher, 33</w:t>
      </w:r>
      <w:r w:rsidRPr="00A979E2">
        <w:t xml:space="preserve">(3), 200-205. </w:t>
      </w:r>
    </w:p>
    <w:p w:rsidR="006D50FE" w:rsidRPr="00A979E2" w:rsidRDefault="007317BE" w:rsidP="003D250C">
      <w:pPr>
        <w:pStyle w:val="References"/>
      </w:pPr>
      <w:proofErr w:type="spellStart"/>
      <w:proofErr w:type="gramStart"/>
      <w:r w:rsidRPr="00A979E2">
        <w:t>Avargil</w:t>
      </w:r>
      <w:proofErr w:type="spellEnd"/>
      <w:r w:rsidRPr="00A979E2">
        <w:t xml:space="preserve">, S., </w:t>
      </w:r>
      <w:proofErr w:type="spellStart"/>
      <w:r w:rsidRPr="00A979E2">
        <w:t>Herscovitz</w:t>
      </w:r>
      <w:proofErr w:type="spellEnd"/>
      <w:r w:rsidRPr="00A979E2">
        <w:t>, O., &amp; Dori, Y. J. (2012).</w:t>
      </w:r>
      <w:proofErr w:type="gramEnd"/>
      <w:r w:rsidRPr="00A979E2">
        <w:t xml:space="preserve"> Teaching thinking skills in context-based learning: Teachers</w:t>
      </w:r>
      <w:r w:rsidR="00045CD7">
        <w:t>’</w:t>
      </w:r>
      <w:r w:rsidRPr="00A979E2">
        <w:t xml:space="preserve"> challenges and assessment knowledge. </w:t>
      </w:r>
      <w:r w:rsidRPr="00A979E2">
        <w:rPr>
          <w:i/>
          <w:iCs/>
        </w:rPr>
        <w:t>Journal of Science Education and Technology, 21</w:t>
      </w:r>
      <w:r w:rsidRPr="00A979E2">
        <w:t xml:space="preserve">(2), 207-225. </w:t>
      </w:r>
    </w:p>
    <w:p w:rsidR="006D50FE" w:rsidRPr="00A979E2" w:rsidRDefault="007317BE" w:rsidP="003D250C">
      <w:pPr>
        <w:pStyle w:val="References"/>
      </w:pPr>
      <w:r w:rsidRPr="00A979E2">
        <w:rPr>
          <w:lang w:val="de-CH"/>
        </w:rPr>
        <w:t xml:space="preserve">Avidov-Ungar, O., &amp; Iluz, I. E. (2014). </w:t>
      </w:r>
      <w:proofErr w:type="gramStart"/>
      <w:r w:rsidRPr="00A979E2">
        <w:t xml:space="preserve">Levels of ICT integration among teacher educators in a </w:t>
      </w:r>
      <w:proofErr w:type="spellStart"/>
      <w:r w:rsidRPr="00A979E2">
        <w:t>tracher</w:t>
      </w:r>
      <w:proofErr w:type="spellEnd"/>
      <w:r w:rsidRPr="00A979E2">
        <w:t xml:space="preserve"> educ</w:t>
      </w:r>
      <w:r w:rsidRPr="00A979E2">
        <w:t>a</w:t>
      </w:r>
      <w:r w:rsidRPr="00A979E2">
        <w:t>tion academic college.</w:t>
      </w:r>
      <w:proofErr w:type="gramEnd"/>
      <w:r w:rsidRPr="00A979E2">
        <w:t xml:space="preserve"> </w:t>
      </w:r>
      <w:proofErr w:type="gramStart"/>
      <w:r w:rsidRPr="00A979E2">
        <w:rPr>
          <w:i/>
          <w:iCs/>
        </w:rPr>
        <w:t>Interdisciplinary Journal of E-learning and Learning Objects,</w:t>
      </w:r>
      <w:r w:rsidRPr="00A979E2">
        <w:t xml:space="preserve"> 10, 195-216.</w:t>
      </w:r>
      <w:proofErr w:type="gramEnd"/>
      <w:r w:rsidRPr="00A979E2">
        <w:t xml:space="preserve"> </w:t>
      </w:r>
    </w:p>
    <w:p w:rsidR="006D50FE" w:rsidRPr="00A979E2" w:rsidRDefault="007317BE" w:rsidP="003D250C">
      <w:pPr>
        <w:pStyle w:val="References"/>
      </w:pPr>
      <w:proofErr w:type="spellStart"/>
      <w:proofErr w:type="gramStart"/>
      <w:r w:rsidRPr="00A979E2">
        <w:lastRenderedPageBreak/>
        <w:t>Azevedo</w:t>
      </w:r>
      <w:proofErr w:type="spellEnd"/>
      <w:r w:rsidRPr="00A979E2">
        <w:t xml:space="preserve">, B. F. T., </w:t>
      </w:r>
      <w:proofErr w:type="spellStart"/>
      <w:r w:rsidRPr="00A979E2">
        <w:t>Reategui</w:t>
      </w:r>
      <w:proofErr w:type="spellEnd"/>
      <w:r w:rsidRPr="00A979E2">
        <w:t>, E., &amp; Behar, P. A. (2014).</w:t>
      </w:r>
      <w:proofErr w:type="gramEnd"/>
      <w:r w:rsidRPr="00A979E2">
        <w:t xml:space="preserve"> </w:t>
      </w:r>
      <w:proofErr w:type="gramStart"/>
      <w:r w:rsidRPr="00A979E2">
        <w:t>Analysis of the relevance of posts in asynchronous di</w:t>
      </w:r>
      <w:r w:rsidRPr="00A979E2">
        <w:t>s</w:t>
      </w:r>
      <w:r w:rsidRPr="00A979E2">
        <w:t>cussions.</w:t>
      </w:r>
      <w:proofErr w:type="gramEnd"/>
      <w:r w:rsidRPr="00A979E2">
        <w:t xml:space="preserve"> </w:t>
      </w:r>
      <w:r w:rsidRPr="00A979E2">
        <w:rPr>
          <w:i/>
          <w:iCs/>
        </w:rPr>
        <w:t>Interdisciplinary Journal of E-Learning and Learning Objects, 10</w:t>
      </w:r>
      <w:r w:rsidRPr="00A979E2">
        <w:t xml:space="preserve">, 106-121. </w:t>
      </w:r>
    </w:p>
    <w:p w:rsidR="005813AE" w:rsidRPr="00A979E2" w:rsidRDefault="005813AE" w:rsidP="003D250C">
      <w:pPr>
        <w:pStyle w:val="References"/>
      </w:pPr>
      <w:r w:rsidRPr="00172FCF">
        <w:rPr>
          <w:lang w:val="de-CH"/>
        </w:rPr>
        <w:t xml:space="preserve">Barak, M., Hussein-Farraj, R., &amp; Dori, Y.J. (2016). </w:t>
      </w:r>
      <w:r w:rsidRPr="00A979E2">
        <w:t>On-campus or online: Examining self- regulation and cogn</w:t>
      </w:r>
      <w:r w:rsidRPr="00A979E2">
        <w:t>i</w:t>
      </w:r>
      <w:r w:rsidRPr="00A979E2">
        <w:t xml:space="preserve">tive transfer skills in different learning settings. </w:t>
      </w:r>
      <w:r w:rsidRPr="00A979E2">
        <w:rPr>
          <w:i/>
          <w:iCs/>
        </w:rPr>
        <w:t>The International Journal of Educational Technology in Higher E</w:t>
      </w:r>
      <w:r w:rsidRPr="00A979E2">
        <w:rPr>
          <w:i/>
          <w:iCs/>
        </w:rPr>
        <w:t>d</w:t>
      </w:r>
      <w:r w:rsidRPr="00A979E2">
        <w:rPr>
          <w:i/>
          <w:iCs/>
        </w:rPr>
        <w:t>ucation</w:t>
      </w:r>
      <w:r w:rsidRPr="00A979E2">
        <w:t>, 13(35),</w:t>
      </w:r>
      <w:r w:rsidRPr="00A979E2">
        <w:tab/>
        <w:t xml:space="preserve"> </w:t>
      </w:r>
      <w:r w:rsidRPr="00A979E2">
        <w:br/>
        <w:t>DOI: 10.1186/s41239-016-0035-9.</w:t>
      </w:r>
    </w:p>
    <w:p w:rsidR="006D50FE" w:rsidRPr="00A979E2" w:rsidRDefault="007317BE" w:rsidP="003D250C">
      <w:pPr>
        <w:pStyle w:val="References"/>
      </w:pPr>
      <w:proofErr w:type="gramStart"/>
      <w:r w:rsidRPr="00A979E2">
        <w:t xml:space="preserve">Barak, M., </w:t>
      </w:r>
      <w:proofErr w:type="spellStart"/>
      <w:r w:rsidRPr="00A979E2">
        <w:t>Nissim</w:t>
      </w:r>
      <w:proofErr w:type="spellEnd"/>
      <w:r w:rsidRPr="00A979E2">
        <w:t xml:space="preserve">, Y., &amp; </w:t>
      </w:r>
      <w:proofErr w:type="spellStart"/>
      <w:r w:rsidRPr="00A979E2">
        <w:t>Bem-Zvi</w:t>
      </w:r>
      <w:proofErr w:type="spellEnd"/>
      <w:r w:rsidRPr="00A979E2">
        <w:t>, D. (2011) Aptness between teaching roles and teaching strategies in ICT-integrated science lessons.</w:t>
      </w:r>
      <w:proofErr w:type="gramEnd"/>
      <w:r w:rsidRPr="00A979E2">
        <w:t xml:space="preserve"> </w:t>
      </w:r>
      <w:r w:rsidRPr="00A979E2">
        <w:rPr>
          <w:i/>
          <w:iCs/>
        </w:rPr>
        <w:t>Interdisciplinary Journal of E-Learning and Learning Objects,</w:t>
      </w:r>
      <w:r w:rsidRPr="00A979E2">
        <w:t xml:space="preserve"> 7, 306-311. </w:t>
      </w:r>
    </w:p>
    <w:p w:rsidR="006D50FE" w:rsidRPr="00A979E2" w:rsidRDefault="007317BE" w:rsidP="003D250C">
      <w:pPr>
        <w:pStyle w:val="References"/>
      </w:pPr>
      <w:proofErr w:type="gramStart"/>
      <w:r w:rsidRPr="00A979E2">
        <w:t xml:space="preserve">Barak, M., </w:t>
      </w:r>
      <w:proofErr w:type="spellStart"/>
      <w:r w:rsidRPr="00A979E2">
        <w:t>Watted</w:t>
      </w:r>
      <w:proofErr w:type="spellEnd"/>
      <w:r w:rsidRPr="00A979E2">
        <w:t xml:space="preserve">, A., &amp; </w:t>
      </w:r>
      <w:proofErr w:type="spellStart"/>
      <w:r w:rsidRPr="00A979E2">
        <w:t>Haick</w:t>
      </w:r>
      <w:proofErr w:type="spellEnd"/>
      <w:r w:rsidRPr="00A979E2">
        <w:t>, H. (2016).</w:t>
      </w:r>
      <w:proofErr w:type="gramEnd"/>
      <w:r w:rsidRPr="00A979E2">
        <w:t xml:space="preserve"> Motivation to learn in massive open online courses: examining a</w:t>
      </w:r>
      <w:r w:rsidRPr="00A979E2">
        <w:t>s</w:t>
      </w:r>
      <w:r w:rsidRPr="00A979E2">
        <w:t xml:space="preserve">pects of language and social engagement. </w:t>
      </w:r>
      <w:r w:rsidRPr="00A979E2">
        <w:rPr>
          <w:i/>
          <w:iCs/>
        </w:rPr>
        <w:t>Computers &amp; Education</w:t>
      </w:r>
      <w:r w:rsidRPr="00A979E2">
        <w:t xml:space="preserve">, 94, 49-60. </w:t>
      </w:r>
      <w:hyperlink r:id="rId13" w:tgtFrame="doilink" w:history="1">
        <w:r w:rsidRPr="00A979E2">
          <w:t>DOI:10.1016/j.compedu.2015.11.010</w:t>
        </w:r>
      </w:hyperlink>
    </w:p>
    <w:p w:rsidR="00B6122A" w:rsidRDefault="007317BE" w:rsidP="003D250C">
      <w:pPr>
        <w:pStyle w:val="References"/>
      </w:pPr>
      <w:r w:rsidRPr="00A979E2">
        <w:t xml:space="preserve">Bligh, J. (2005). </w:t>
      </w:r>
      <w:proofErr w:type="gramStart"/>
      <w:r w:rsidRPr="00A979E2">
        <w:t>Faculty development.</w:t>
      </w:r>
      <w:proofErr w:type="gramEnd"/>
      <w:r w:rsidRPr="00A979E2">
        <w:rPr>
          <w:i/>
          <w:iCs/>
        </w:rPr>
        <w:t xml:space="preserve"> Medical Education, 39</w:t>
      </w:r>
      <w:r w:rsidRPr="00A979E2">
        <w:t xml:space="preserve">(2), 120-121. </w:t>
      </w:r>
    </w:p>
    <w:p w:rsidR="00B6122A" w:rsidRPr="00B6122A" w:rsidRDefault="00B6122A" w:rsidP="003D250C">
      <w:pPr>
        <w:pStyle w:val="References"/>
        <w:rPr>
          <w:sz w:val="16"/>
          <w:szCs w:val="16"/>
        </w:rPr>
      </w:pPr>
      <w:r w:rsidRPr="00B6122A">
        <w:rPr>
          <w:szCs w:val="18"/>
        </w:rPr>
        <w:t xml:space="preserve">Breslow, L., Pritchard, D. E., </w:t>
      </w:r>
      <w:proofErr w:type="spellStart"/>
      <w:r w:rsidRPr="00B6122A">
        <w:rPr>
          <w:szCs w:val="18"/>
        </w:rPr>
        <w:t>DeBoer</w:t>
      </w:r>
      <w:proofErr w:type="spellEnd"/>
      <w:r w:rsidRPr="00B6122A">
        <w:rPr>
          <w:szCs w:val="18"/>
        </w:rPr>
        <w:t xml:space="preserve">, J., Stump, G. S., Ho, A. D., &amp; Seaton, D. T. (2013). Studying learning in the worldwide classroom: Research into </w:t>
      </w:r>
      <w:proofErr w:type="spellStart"/>
      <w:r w:rsidRPr="00B6122A">
        <w:rPr>
          <w:szCs w:val="18"/>
        </w:rPr>
        <w:t>edX</w:t>
      </w:r>
      <w:r w:rsidR="00045CD7">
        <w:rPr>
          <w:szCs w:val="18"/>
        </w:rPr>
        <w:t>’</w:t>
      </w:r>
      <w:r w:rsidRPr="00B6122A">
        <w:rPr>
          <w:szCs w:val="18"/>
        </w:rPr>
        <w:t>s</w:t>
      </w:r>
      <w:proofErr w:type="spellEnd"/>
      <w:r w:rsidRPr="00B6122A">
        <w:rPr>
          <w:szCs w:val="18"/>
        </w:rPr>
        <w:t xml:space="preserve"> first MOOC. </w:t>
      </w:r>
      <w:r w:rsidRPr="00B6122A">
        <w:rPr>
          <w:i/>
          <w:iCs/>
          <w:szCs w:val="18"/>
        </w:rPr>
        <w:t>Research &amp; Practice in Assessment</w:t>
      </w:r>
      <w:r w:rsidRPr="00B6122A">
        <w:rPr>
          <w:szCs w:val="18"/>
        </w:rPr>
        <w:t xml:space="preserve">, </w:t>
      </w:r>
      <w:r w:rsidRPr="00B6122A">
        <w:rPr>
          <w:i/>
          <w:iCs/>
          <w:szCs w:val="18"/>
        </w:rPr>
        <w:t xml:space="preserve">8, </w:t>
      </w:r>
      <w:r w:rsidRPr="00BB774A">
        <w:rPr>
          <w:szCs w:val="18"/>
        </w:rPr>
        <w:t>13-25</w:t>
      </w:r>
      <w:r w:rsidRPr="00B6122A">
        <w:rPr>
          <w:szCs w:val="18"/>
        </w:rPr>
        <w:t>.</w:t>
      </w:r>
    </w:p>
    <w:p w:rsidR="006D50FE" w:rsidRPr="00A979E2" w:rsidRDefault="007317BE" w:rsidP="003D250C">
      <w:pPr>
        <w:pStyle w:val="References"/>
      </w:pPr>
      <w:r w:rsidRPr="00B01B27">
        <w:rPr>
          <w:lang w:val="es-ES_tradnl"/>
        </w:rPr>
        <w:t xml:space="preserve">Cook, D. A., </w:t>
      </w:r>
      <w:proofErr w:type="spellStart"/>
      <w:r w:rsidRPr="00B01B27">
        <w:rPr>
          <w:lang w:val="es-ES_tradnl"/>
        </w:rPr>
        <w:t>Garside</w:t>
      </w:r>
      <w:proofErr w:type="spellEnd"/>
      <w:r w:rsidRPr="00B01B27">
        <w:rPr>
          <w:lang w:val="es-ES_tradnl"/>
        </w:rPr>
        <w:t xml:space="preserve">, S., </w:t>
      </w:r>
      <w:proofErr w:type="spellStart"/>
      <w:r w:rsidRPr="00B01B27">
        <w:rPr>
          <w:lang w:val="es-ES_tradnl"/>
        </w:rPr>
        <w:t>Levinson</w:t>
      </w:r>
      <w:proofErr w:type="spellEnd"/>
      <w:r w:rsidRPr="00B01B27">
        <w:rPr>
          <w:lang w:val="es-ES_tradnl"/>
        </w:rPr>
        <w:t xml:space="preserve">, A. J., </w:t>
      </w:r>
      <w:proofErr w:type="spellStart"/>
      <w:r w:rsidRPr="00B01B27">
        <w:rPr>
          <w:lang w:val="es-ES_tradnl"/>
        </w:rPr>
        <w:t>Dupras</w:t>
      </w:r>
      <w:proofErr w:type="spellEnd"/>
      <w:r w:rsidRPr="00B01B27">
        <w:rPr>
          <w:lang w:val="es-ES_tradnl"/>
        </w:rPr>
        <w:t xml:space="preserve">, D. M., &amp; </w:t>
      </w:r>
      <w:proofErr w:type="spellStart"/>
      <w:r w:rsidRPr="00B01B27">
        <w:rPr>
          <w:lang w:val="es-ES_tradnl"/>
        </w:rPr>
        <w:t>Montori</w:t>
      </w:r>
      <w:proofErr w:type="spellEnd"/>
      <w:r w:rsidRPr="00B01B27">
        <w:rPr>
          <w:lang w:val="es-ES_tradnl"/>
        </w:rPr>
        <w:t xml:space="preserve">, V. M. (2010). </w:t>
      </w:r>
      <w:r w:rsidRPr="00A979E2">
        <w:t>What do we mean by web</w:t>
      </w:r>
      <w:r w:rsidRPr="00A979E2">
        <w:rPr>
          <w:rFonts w:ascii="Cambria Math" w:hAnsi="Cambria Math" w:cs="Cambria Math"/>
        </w:rPr>
        <w:t>‐</w:t>
      </w:r>
      <w:r w:rsidRPr="00A979E2">
        <w:t xml:space="preserve">based learning? </w:t>
      </w:r>
      <w:proofErr w:type="gramStart"/>
      <w:r w:rsidRPr="00A979E2">
        <w:t>A systematic review of the variability of interventions.</w:t>
      </w:r>
      <w:proofErr w:type="gramEnd"/>
      <w:r w:rsidRPr="00A979E2">
        <w:t xml:space="preserve"> </w:t>
      </w:r>
      <w:r w:rsidRPr="00A979E2">
        <w:rPr>
          <w:i/>
          <w:iCs/>
        </w:rPr>
        <w:t>Medical Education, 44</w:t>
      </w:r>
      <w:r w:rsidRPr="00A979E2">
        <w:t xml:space="preserve">(8), 765-774. </w:t>
      </w:r>
    </w:p>
    <w:p w:rsidR="006D50FE" w:rsidRPr="00A979E2" w:rsidRDefault="007317BE" w:rsidP="003D250C">
      <w:pPr>
        <w:pStyle w:val="References"/>
      </w:pPr>
      <w:proofErr w:type="gramStart"/>
      <w:r w:rsidRPr="00A979E2">
        <w:t>Curran, V. R., &amp; Fleet, L. (2005).</w:t>
      </w:r>
      <w:proofErr w:type="gramEnd"/>
      <w:r w:rsidRPr="00A979E2">
        <w:t xml:space="preserve"> </w:t>
      </w:r>
      <w:proofErr w:type="gramStart"/>
      <w:r w:rsidRPr="00A979E2">
        <w:t>A review of evaluation outcomes of web</w:t>
      </w:r>
      <w:r w:rsidRPr="00A979E2">
        <w:rPr>
          <w:rFonts w:ascii="Cambria Math" w:hAnsi="Cambria Math" w:cs="Cambria Math"/>
        </w:rPr>
        <w:t>‐</w:t>
      </w:r>
      <w:r w:rsidRPr="00A979E2">
        <w:t>based continuing medical education.</w:t>
      </w:r>
      <w:proofErr w:type="gramEnd"/>
      <w:r w:rsidRPr="00A979E2">
        <w:rPr>
          <w:i/>
          <w:iCs/>
        </w:rPr>
        <w:t xml:space="preserve"> Medical Education, 39</w:t>
      </w:r>
      <w:r w:rsidRPr="00A979E2">
        <w:t xml:space="preserve">(6), 561-567. </w:t>
      </w:r>
    </w:p>
    <w:p w:rsidR="006D50FE" w:rsidRPr="00A979E2" w:rsidRDefault="007317BE" w:rsidP="003D250C">
      <w:pPr>
        <w:pStyle w:val="References"/>
        <w:rPr>
          <w:lang w:val="de-CH"/>
        </w:rPr>
      </w:pPr>
      <w:proofErr w:type="spellStart"/>
      <w:r w:rsidRPr="00A979E2">
        <w:t>Dall</w:t>
      </w:r>
      <w:r w:rsidR="00045CD7">
        <w:t>’</w:t>
      </w:r>
      <w:r w:rsidRPr="00A979E2">
        <w:t>Alba</w:t>
      </w:r>
      <w:proofErr w:type="spellEnd"/>
      <w:r w:rsidRPr="00A979E2">
        <w:t xml:space="preserve">, G. (2009). </w:t>
      </w:r>
      <w:proofErr w:type="gramStart"/>
      <w:r w:rsidRPr="00A979E2">
        <w:rPr>
          <w:i/>
          <w:iCs/>
        </w:rPr>
        <w:t>Learning to be professionals.</w:t>
      </w:r>
      <w:proofErr w:type="gramEnd"/>
      <w:r w:rsidRPr="00A979E2">
        <w:t xml:space="preserve"> </w:t>
      </w:r>
      <w:r w:rsidRPr="00A979E2">
        <w:rPr>
          <w:lang w:val="de-CH"/>
        </w:rPr>
        <w:t xml:space="preserve">Dordrecht, Netherland; Springer. </w:t>
      </w:r>
    </w:p>
    <w:p w:rsidR="006D50FE" w:rsidRPr="00A979E2" w:rsidRDefault="007317BE" w:rsidP="003D250C">
      <w:pPr>
        <w:pStyle w:val="References"/>
      </w:pPr>
      <w:r w:rsidRPr="00A979E2">
        <w:rPr>
          <w:lang w:val="de-CH"/>
        </w:rPr>
        <w:t>Denzin, N.</w:t>
      </w:r>
      <w:r w:rsidR="00E21107" w:rsidRPr="00A979E2">
        <w:rPr>
          <w:lang w:val="de-CH"/>
        </w:rPr>
        <w:t xml:space="preserve"> </w:t>
      </w:r>
      <w:r w:rsidRPr="00A979E2">
        <w:rPr>
          <w:lang w:val="de-CH"/>
        </w:rPr>
        <w:t>K.</w:t>
      </w:r>
      <w:r w:rsidR="00E21107" w:rsidRPr="00A979E2">
        <w:rPr>
          <w:lang w:val="de-CH"/>
        </w:rPr>
        <w:t>,</w:t>
      </w:r>
      <w:r w:rsidRPr="00A979E2">
        <w:rPr>
          <w:lang w:val="de-CH"/>
        </w:rPr>
        <w:t xml:space="preserve"> &amp; Lincoln, Y.</w:t>
      </w:r>
      <w:r w:rsidR="00E21107" w:rsidRPr="00A979E2">
        <w:rPr>
          <w:lang w:val="de-CH"/>
        </w:rPr>
        <w:t xml:space="preserve"> </w:t>
      </w:r>
      <w:r w:rsidRPr="00A979E2">
        <w:rPr>
          <w:lang w:val="de-CH"/>
        </w:rPr>
        <w:t xml:space="preserve">S.  </w:t>
      </w:r>
      <w:r w:rsidRPr="00A979E2">
        <w:t xml:space="preserve">(2005). </w:t>
      </w:r>
      <w:proofErr w:type="gramStart"/>
      <w:r w:rsidRPr="00A979E2">
        <w:rPr>
          <w:i/>
          <w:iCs/>
        </w:rPr>
        <w:t>The</w:t>
      </w:r>
      <w:proofErr w:type="gramEnd"/>
      <w:r w:rsidRPr="00A979E2">
        <w:rPr>
          <w:i/>
          <w:iCs/>
        </w:rPr>
        <w:t xml:space="preserve"> Sage Handbook of Qualitative Research.</w:t>
      </w:r>
      <w:r w:rsidRPr="00A979E2">
        <w:t xml:space="preserve"> Oaks: Sage. </w:t>
      </w:r>
    </w:p>
    <w:p w:rsidR="005813AE" w:rsidRPr="00A979E2" w:rsidRDefault="005813AE" w:rsidP="003D250C">
      <w:pPr>
        <w:pStyle w:val="References"/>
      </w:pPr>
      <w:r w:rsidRPr="00A979E2">
        <w:t xml:space="preserve">Dori, Y. J. 2007. Educational reform at </w:t>
      </w:r>
      <w:proofErr w:type="spellStart"/>
      <w:r w:rsidRPr="00A979E2">
        <w:t>Mit</w:t>
      </w:r>
      <w:proofErr w:type="spellEnd"/>
      <w:r w:rsidRPr="00A979E2">
        <w:t>: Advancing and evaluating technology-based projects on- and off- campus.</w:t>
      </w:r>
      <w:r w:rsidRPr="00A979E2">
        <w:rPr>
          <w:i/>
          <w:iCs/>
        </w:rPr>
        <w:t xml:space="preserve"> Journal of Science Education and Technology</w:t>
      </w:r>
      <w:r w:rsidRPr="00A979E2">
        <w:t>, 16(4): 279–281.</w:t>
      </w:r>
    </w:p>
    <w:p w:rsidR="00601DE4" w:rsidRDefault="007317BE" w:rsidP="003D250C">
      <w:pPr>
        <w:pStyle w:val="References"/>
        <w:rPr>
          <w:rStyle w:val="Hyperlink"/>
          <w:rFonts w:asciiTheme="majorBidi" w:hAnsiTheme="majorBidi" w:cstheme="majorBidi"/>
          <w:szCs w:val="20"/>
          <w:lang w:val="de-CH"/>
        </w:rPr>
      </w:pPr>
      <w:proofErr w:type="spellStart"/>
      <w:r w:rsidRPr="00B01B27">
        <w:rPr>
          <w:lang w:val="es-ES_tradnl"/>
        </w:rPr>
        <w:t>Dori</w:t>
      </w:r>
      <w:proofErr w:type="spellEnd"/>
      <w:r w:rsidRPr="00B01B27">
        <w:rPr>
          <w:lang w:val="es-ES_tradnl"/>
        </w:rPr>
        <w:t>, Y. J.,</w:t>
      </w:r>
      <w:r w:rsidRPr="00A979E2">
        <w:rPr>
          <w:rtl/>
        </w:rPr>
        <w:t xml:space="preserve"> </w:t>
      </w:r>
      <w:r w:rsidRPr="00B01B27">
        <w:rPr>
          <w:lang w:val="es-ES_tradnl"/>
        </w:rPr>
        <w:t xml:space="preserve">&amp; </w:t>
      </w:r>
      <w:proofErr w:type="spellStart"/>
      <w:r w:rsidRPr="00B01B27">
        <w:rPr>
          <w:lang w:val="es-ES_tradnl"/>
        </w:rPr>
        <w:t>Avargil</w:t>
      </w:r>
      <w:proofErr w:type="spellEnd"/>
      <w:r w:rsidRPr="00B01B27">
        <w:rPr>
          <w:lang w:val="es-ES_tradnl"/>
        </w:rPr>
        <w:t xml:space="preserve">, A. (2015). </w:t>
      </w:r>
      <w:proofErr w:type="gramStart"/>
      <w:r w:rsidRPr="00A979E2">
        <w:t>Teachers</w:t>
      </w:r>
      <w:r w:rsidR="00045CD7">
        <w:t>’</w:t>
      </w:r>
      <w:r w:rsidRPr="00A979E2">
        <w:t xml:space="preserve"> understanding of assessment.</w:t>
      </w:r>
      <w:proofErr w:type="gramEnd"/>
      <w:r w:rsidRPr="00A979E2">
        <w:t xml:space="preserve"> </w:t>
      </w:r>
      <w:proofErr w:type="gramStart"/>
      <w:r w:rsidRPr="00A979E2">
        <w:t xml:space="preserve">In R. </w:t>
      </w:r>
      <w:proofErr w:type="spellStart"/>
      <w:r w:rsidRPr="00A979E2">
        <w:t>Gunstone</w:t>
      </w:r>
      <w:proofErr w:type="spellEnd"/>
      <w:r w:rsidRPr="00A979E2">
        <w:t xml:space="preserve"> (Ed.) Encyclopedia of Science Education.</w:t>
      </w:r>
      <w:proofErr w:type="gramEnd"/>
      <w:r w:rsidRPr="00A979E2">
        <w:t xml:space="preserve"> </w:t>
      </w:r>
      <w:r w:rsidRPr="00A979E2">
        <w:rPr>
          <w:lang w:val="de-CH"/>
        </w:rPr>
        <w:t xml:space="preserve">Springer-Verlag Berlin Heidelberg. </w:t>
      </w:r>
      <w:hyperlink r:id="rId14" w:history="1">
        <w:r w:rsidRPr="00A979E2">
          <w:rPr>
            <w:rStyle w:val="Hyperlink"/>
            <w:rFonts w:asciiTheme="majorBidi" w:hAnsiTheme="majorBidi" w:cstheme="majorBidi"/>
            <w:szCs w:val="20"/>
            <w:lang w:val="de-CH"/>
          </w:rPr>
          <w:t>http://www.springerreference.com/docs/html/chapterdbid/303248.html</w:t>
        </w:r>
      </w:hyperlink>
    </w:p>
    <w:p w:rsidR="006B34EB" w:rsidRDefault="00601DE4" w:rsidP="003D250C">
      <w:pPr>
        <w:pStyle w:val="References"/>
      </w:pPr>
      <w:r w:rsidRPr="00601DE4">
        <w:t xml:space="preserve">Goldstein, O., </w:t>
      </w:r>
      <w:proofErr w:type="spellStart"/>
      <w:r w:rsidRPr="00601DE4">
        <w:t>Shonfeld</w:t>
      </w:r>
      <w:proofErr w:type="spellEnd"/>
      <w:r w:rsidRPr="00601DE4">
        <w:t xml:space="preserve">, M., Waldman, N., </w:t>
      </w:r>
      <w:proofErr w:type="spellStart"/>
      <w:r w:rsidRPr="00601DE4">
        <w:t>Forkush</w:t>
      </w:r>
      <w:proofErr w:type="spellEnd"/>
      <w:r w:rsidRPr="00601DE4">
        <w:t xml:space="preserve">-Baruch, A., </w:t>
      </w:r>
      <w:proofErr w:type="spellStart"/>
      <w:r w:rsidRPr="00601DE4">
        <w:t>Tesler</w:t>
      </w:r>
      <w:proofErr w:type="spellEnd"/>
      <w:r w:rsidRPr="00601DE4">
        <w:t xml:space="preserve">, B., </w:t>
      </w:r>
      <w:proofErr w:type="spellStart"/>
      <w:r w:rsidRPr="00601DE4">
        <w:t>Zelko</w:t>
      </w:r>
      <w:r w:rsidR="006B34EB">
        <w:t>vich</w:t>
      </w:r>
      <w:proofErr w:type="spellEnd"/>
      <w:r w:rsidR="006B34EB">
        <w:t>, Z</w:t>
      </w:r>
      <w:proofErr w:type="gramStart"/>
      <w:r w:rsidR="006B34EB">
        <w:t>., ...</w:t>
      </w:r>
      <w:proofErr w:type="gramEnd"/>
      <w:r w:rsidR="006B34EB">
        <w:t xml:space="preserve"> &amp; </w:t>
      </w:r>
      <w:proofErr w:type="spellStart"/>
      <w:r w:rsidR="006B34EB">
        <w:t>Zidan</w:t>
      </w:r>
      <w:proofErr w:type="spellEnd"/>
      <w:r w:rsidR="006B34EB">
        <w:t>, W. (2011</w:t>
      </w:r>
      <w:r w:rsidRPr="00601DE4">
        <w:t xml:space="preserve">). ICT integration in teacher education: The case of Israel. In </w:t>
      </w:r>
      <w:r w:rsidRPr="00601DE4">
        <w:rPr>
          <w:i/>
          <w:iCs/>
        </w:rPr>
        <w:t>Proceedings of Society for Information Technology &amp; Teacher Education International Conference</w:t>
      </w:r>
      <w:r w:rsidRPr="00601DE4">
        <w:t xml:space="preserve"> (pp. 2860-2867)</w:t>
      </w:r>
      <w:r w:rsidR="007317BE" w:rsidRPr="00601DE4">
        <w:t xml:space="preserve">. </w:t>
      </w:r>
    </w:p>
    <w:p w:rsidR="006B34EB" w:rsidRPr="006B34EB" w:rsidRDefault="006B34EB" w:rsidP="003D250C">
      <w:pPr>
        <w:pStyle w:val="References"/>
        <w:rPr>
          <w:lang w:val="de-CH"/>
        </w:rPr>
      </w:pPr>
      <w:r w:rsidRPr="006B34EB">
        <w:t xml:space="preserve">Goldstein, O., </w:t>
      </w:r>
      <w:r w:rsidRPr="006B34EB">
        <w:rPr>
          <w:rStyle w:val="highlight"/>
          <w:szCs w:val="20"/>
        </w:rPr>
        <w:t>Waldman</w:t>
      </w:r>
      <w:r w:rsidRPr="006B34EB">
        <w:t xml:space="preserve">, N., </w:t>
      </w:r>
      <w:proofErr w:type="spellStart"/>
      <w:r w:rsidRPr="006B34EB">
        <w:t>Tesler</w:t>
      </w:r>
      <w:proofErr w:type="spellEnd"/>
      <w:r w:rsidRPr="006B34EB">
        <w:t xml:space="preserve">, B., </w:t>
      </w:r>
      <w:proofErr w:type="spellStart"/>
      <w:r w:rsidRPr="006B34EB">
        <w:t>Forkosh</w:t>
      </w:r>
      <w:proofErr w:type="spellEnd"/>
      <w:r w:rsidRPr="006B34EB">
        <w:t xml:space="preserve">-Baruch, A., </w:t>
      </w:r>
      <w:proofErr w:type="spellStart"/>
      <w:r w:rsidRPr="006B34EB">
        <w:t>Shonfeld</w:t>
      </w:r>
      <w:proofErr w:type="spellEnd"/>
      <w:r w:rsidRPr="006B34EB">
        <w:t xml:space="preserve">, M., </w:t>
      </w:r>
      <w:proofErr w:type="spellStart"/>
      <w:r w:rsidRPr="006B34EB">
        <w:t>Mor</w:t>
      </w:r>
      <w:proofErr w:type="spellEnd"/>
      <w:r w:rsidRPr="006B34EB">
        <w:t>, N</w:t>
      </w:r>
      <w:proofErr w:type="gramStart"/>
      <w:r w:rsidRPr="006B34EB">
        <w:t>., …</w:t>
      </w:r>
      <w:proofErr w:type="gramEnd"/>
      <w:r w:rsidRPr="006B34EB">
        <w:t xml:space="preserve"> &amp; </w:t>
      </w:r>
      <w:proofErr w:type="spellStart"/>
      <w:r w:rsidRPr="006B34EB">
        <w:t>Kozminsky</w:t>
      </w:r>
      <w:proofErr w:type="spellEnd"/>
      <w:r w:rsidRPr="006B34EB">
        <w:t xml:space="preserve">, L. (2011). The Current State of Pre-Service Teachers Training for ICT Based Teaching in Israel: 2008-2009. In </w:t>
      </w:r>
      <w:r w:rsidRPr="006B34EB">
        <w:rPr>
          <w:i/>
          <w:iCs/>
        </w:rPr>
        <w:t>Pr</w:t>
      </w:r>
      <w:r w:rsidRPr="006B34EB">
        <w:rPr>
          <w:i/>
          <w:iCs/>
        </w:rPr>
        <w:t>o</w:t>
      </w:r>
      <w:r w:rsidRPr="006B34EB">
        <w:rPr>
          <w:i/>
          <w:iCs/>
        </w:rPr>
        <w:t>ceedings of Global TIME 2011</w:t>
      </w:r>
      <w:r w:rsidRPr="006B34EB">
        <w:t xml:space="preserve"> (pp. 165-170). </w:t>
      </w:r>
    </w:p>
    <w:p w:rsidR="006D50FE" w:rsidRPr="00A979E2" w:rsidRDefault="007317BE" w:rsidP="003D250C">
      <w:pPr>
        <w:pStyle w:val="References"/>
      </w:pPr>
      <w:proofErr w:type="gramStart"/>
      <w:r w:rsidRPr="00A979E2">
        <w:t>Hasan, H., &amp; Crawford, K. (2003).</w:t>
      </w:r>
      <w:proofErr w:type="gramEnd"/>
      <w:r w:rsidRPr="00A979E2">
        <w:t xml:space="preserve"> </w:t>
      </w:r>
      <w:proofErr w:type="gramStart"/>
      <w:r w:rsidRPr="00A979E2">
        <w:t>A multifaceted approach to distributed communities of learning and pra</w:t>
      </w:r>
      <w:r w:rsidRPr="00A979E2">
        <w:t>c</w:t>
      </w:r>
      <w:r w:rsidRPr="00A979E2">
        <w:t>tice.</w:t>
      </w:r>
      <w:proofErr w:type="gramEnd"/>
      <w:r w:rsidRPr="00A979E2">
        <w:t xml:space="preserve"> </w:t>
      </w:r>
      <w:proofErr w:type="gramStart"/>
      <w:r w:rsidRPr="00A979E2">
        <w:t xml:space="preserve">In M. </w:t>
      </w:r>
      <w:proofErr w:type="spellStart"/>
      <w:r w:rsidRPr="00A979E2">
        <w:t>Korpela</w:t>
      </w:r>
      <w:proofErr w:type="spellEnd"/>
      <w:r w:rsidRPr="00A979E2">
        <w:t xml:space="preserve">, R. </w:t>
      </w:r>
      <w:proofErr w:type="spellStart"/>
      <w:r w:rsidRPr="00A979E2">
        <w:t>Monteale</w:t>
      </w:r>
      <w:proofErr w:type="spellEnd"/>
      <w:r w:rsidRPr="00A979E2">
        <w:t xml:space="preserve"> &amp; A. </w:t>
      </w:r>
      <w:proofErr w:type="spellStart"/>
      <w:r w:rsidRPr="00A979E2">
        <w:t>Poulymenakou</w:t>
      </w:r>
      <w:proofErr w:type="spellEnd"/>
      <w:r w:rsidRPr="00A979E2">
        <w:t xml:space="preserve"> (Eds.),</w:t>
      </w:r>
      <w:r w:rsidRPr="00A979E2">
        <w:rPr>
          <w:i/>
          <w:iCs/>
        </w:rPr>
        <w:t xml:space="preserve"> Organizational Information Systems in the Context of Globalization</w:t>
      </w:r>
      <w:r w:rsidRPr="00A979E2">
        <w:t xml:space="preserve"> (pp. 37-47).</w:t>
      </w:r>
      <w:proofErr w:type="gramEnd"/>
      <w:r w:rsidRPr="00A979E2">
        <w:t xml:space="preserve"> Athens, Greece: Kluwer. </w:t>
      </w:r>
    </w:p>
    <w:p w:rsidR="006D50FE" w:rsidRPr="00A979E2" w:rsidRDefault="007317BE" w:rsidP="003D250C">
      <w:pPr>
        <w:pStyle w:val="References"/>
      </w:pPr>
      <w:proofErr w:type="gramStart"/>
      <w:r w:rsidRPr="00A979E2">
        <w:t>Henderson, M. (2007).</w:t>
      </w:r>
      <w:proofErr w:type="gramEnd"/>
      <w:r w:rsidRPr="00A979E2">
        <w:t xml:space="preserve"> </w:t>
      </w:r>
      <w:proofErr w:type="gramStart"/>
      <w:r w:rsidRPr="00A979E2">
        <w:t>Sustaining online teacher professional development through community design.</w:t>
      </w:r>
      <w:proofErr w:type="gramEnd"/>
      <w:r w:rsidRPr="00A979E2">
        <w:rPr>
          <w:i/>
          <w:iCs/>
        </w:rPr>
        <w:t xml:space="preserve"> Campus-Wide Information Systems, 24</w:t>
      </w:r>
      <w:r w:rsidRPr="00A979E2">
        <w:t xml:space="preserve">(3), 162-173. </w:t>
      </w:r>
    </w:p>
    <w:p w:rsidR="006D50FE" w:rsidRPr="00A979E2" w:rsidRDefault="009F4B56" w:rsidP="003D250C">
      <w:pPr>
        <w:pStyle w:val="References"/>
      </w:pPr>
      <w:r w:rsidRPr="00A979E2">
        <w:t>Huang</w:t>
      </w:r>
      <w:r w:rsidR="007317BE" w:rsidRPr="00A979E2">
        <w:t xml:space="preserve">, H., &amp; </w:t>
      </w:r>
      <w:proofErr w:type="spellStart"/>
      <w:r w:rsidR="007317BE" w:rsidRPr="00A979E2">
        <w:t>Liaw</w:t>
      </w:r>
      <w:proofErr w:type="spellEnd"/>
      <w:r w:rsidR="007317BE" w:rsidRPr="00A979E2">
        <w:t xml:space="preserve">, S. (2005). </w:t>
      </w:r>
      <w:proofErr w:type="gramStart"/>
      <w:r w:rsidR="007317BE" w:rsidRPr="00A979E2">
        <w:t>Exploring users</w:t>
      </w:r>
      <w:r w:rsidR="00045CD7">
        <w:t>’</w:t>
      </w:r>
      <w:r w:rsidR="007317BE" w:rsidRPr="00A979E2">
        <w:t xml:space="preserve"> attitudes and intentions toward the web as a survey tool.</w:t>
      </w:r>
      <w:proofErr w:type="gramEnd"/>
      <w:r w:rsidR="007317BE" w:rsidRPr="00A979E2">
        <w:rPr>
          <w:i/>
          <w:iCs/>
        </w:rPr>
        <w:t xml:space="preserve"> Compu</w:t>
      </w:r>
      <w:r w:rsidR="007317BE" w:rsidRPr="00A979E2">
        <w:rPr>
          <w:i/>
          <w:iCs/>
        </w:rPr>
        <w:t>t</w:t>
      </w:r>
      <w:r w:rsidR="007317BE" w:rsidRPr="00A979E2">
        <w:rPr>
          <w:i/>
          <w:iCs/>
        </w:rPr>
        <w:t>ers in Human Behavior, 21</w:t>
      </w:r>
      <w:r w:rsidR="007317BE" w:rsidRPr="00A979E2">
        <w:t xml:space="preserve">(5), 729-743. </w:t>
      </w:r>
    </w:p>
    <w:p w:rsidR="006D50FE" w:rsidRPr="00A979E2" w:rsidRDefault="007317BE" w:rsidP="003D250C">
      <w:pPr>
        <w:pStyle w:val="References"/>
      </w:pPr>
      <w:proofErr w:type="gramStart"/>
      <w:r w:rsidRPr="00A979E2">
        <w:t>Hung, M., Chou, C., Chen, C., &amp; Own, Z. (2010).</w:t>
      </w:r>
      <w:proofErr w:type="gramEnd"/>
      <w:r w:rsidRPr="00A979E2">
        <w:t xml:space="preserve"> Learner readiness for online learning: Scale development and student perceptions.</w:t>
      </w:r>
      <w:r w:rsidRPr="00A979E2">
        <w:rPr>
          <w:i/>
          <w:iCs/>
        </w:rPr>
        <w:t xml:space="preserve"> Computers &amp; Education, 55</w:t>
      </w:r>
      <w:r w:rsidRPr="00A979E2">
        <w:t xml:space="preserve">(3), 1080-1090. </w:t>
      </w:r>
    </w:p>
    <w:p w:rsidR="006D50FE" w:rsidRPr="00A979E2" w:rsidRDefault="007317BE" w:rsidP="003D250C">
      <w:pPr>
        <w:pStyle w:val="References"/>
      </w:pPr>
      <w:proofErr w:type="gramStart"/>
      <w:r w:rsidRPr="00A979E2">
        <w:t>Jang, S. (2008).</w:t>
      </w:r>
      <w:proofErr w:type="gramEnd"/>
      <w:r w:rsidRPr="00A979E2">
        <w:t xml:space="preserve"> </w:t>
      </w:r>
      <w:proofErr w:type="gramStart"/>
      <w:r w:rsidRPr="00A979E2">
        <w:t>The effects of integrating technology, observation and writing into a teacher education method course.</w:t>
      </w:r>
      <w:proofErr w:type="gramEnd"/>
      <w:r w:rsidRPr="00A979E2">
        <w:rPr>
          <w:i/>
          <w:iCs/>
        </w:rPr>
        <w:t xml:space="preserve"> Computers &amp; Education, 50</w:t>
      </w:r>
      <w:r w:rsidRPr="00A979E2">
        <w:t xml:space="preserve">(3), 853-865. </w:t>
      </w:r>
    </w:p>
    <w:p w:rsidR="006D50FE" w:rsidRPr="00A979E2" w:rsidRDefault="007317BE" w:rsidP="003D250C">
      <w:pPr>
        <w:pStyle w:val="References"/>
      </w:pPr>
      <w:r w:rsidRPr="00A979E2">
        <w:t>Kim, S. (2006). The future of e learning in medical education: Current trend and future opportunity.</w:t>
      </w:r>
      <w:r w:rsidRPr="00A979E2">
        <w:rPr>
          <w:i/>
          <w:iCs/>
        </w:rPr>
        <w:t xml:space="preserve"> Journal of Educational Evaluation for Health Professions, 3</w:t>
      </w:r>
      <w:r w:rsidRPr="00A979E2">
        <w:t xml:space="preserve">.3 </w:t>
      </w:r>
      <w:proofErr w:type="spellStart"/>
      <w:r w:rsidRPr="00A979E2">
        <w:t>doi</w:t>
      </w:r>
      <w:proofErr w:type="spellEnd"/>
      <w:r w:rsidRPr="00A979E2">
        <w:t>: 10.3352/jeehp.2006 3.3</w:t>
      </w:r>
    </w:p>
    <w:p w:rsidR="006D50FE" w:rsidRPr="00A979E2" w:rsidRDefault="007317BE" w:rsidP="003D250C">
      <w:pPr>
        <w:pStyle w:val="References"/>
      </w:pPr>
      <w:r w:rsidRPr="00A979E2">
        <w:rPr>
          <w:lang w:val="de-CH"/>
        </w:rPr>
        <w:t xml:space="preserve">Koehler, M. J., Mishra, P., &amp; Yahya, K. (2007). </w:t>
      </w:r>
      <w:proofErr w:type="gramStart"/>
      <w:r w:rsidRPr="00A979E2">
        <w:t>Tracing the development of teacher knowledge in a design sem</w:t>
      </w:r>
      <w:r w:rsidRPr="00A979E2">
        <w:t>i</w:t>
      </w:r>
      <w:r w:rsidRPr="00A979E2">
        <w:t>nar: Integrating content, pedagogy and technology.</w:t>
      </w:r>
      <w:proofErr w:type="gramEnd"/>
      <w:r w:rsidRPr="00A979E2">
        <w:rPr>
          <w:i/>
          <w:iCs/>
        </w:rPr>
        <w:t xml:space="preserve"> Computers &amp; Education, 49</w:t>
      </w:r>
      <w:r w:rsidRPr="00A979E2">
        <w:t xml:space="preserve">(3), 740-762. </w:t>
      </w:r>
    </w:p>
    <w:p w:rsidR="006D50FE" w:rsidRPr="00A979E2" w:rsidRDefault="007317BE" w:rsidP="003D250C">
      <w:pPr>
        <w:pStyle w:val="References"/>
      </w:pPr>
      <w:r w:rsidRPr="00A979E2">
        <w:rPr>
          <w:lang w:val="de-CH"/>
        </w:rPr>
        <w:lastRenderedPageBreak/>
        <w:t xml:space="preserve">Kozma, R. B., &amp; Vota, W. S. (2014). </w:t>
      </w:r>
      <w:r w:rsidRPr="00A979E2">
        <w:t xml:space="preserve">ICT in developing countries: Policies, </w:t>
      </w:r>
      <w:r w:rsidR="00290CC5">
        <w:t>I</w:t>
      </w:r>
      <w:r w:rsidRPr="00A979E2">
        <w:t xml:space="preserve">mplementation, and Impact. </w:t>
      </w:r>
      <w:proofErr w:type="gramStart"/>
      <w:r w:rsidRPr="00A979E2">
        <w:t>In Handbook of Research on Educational Communications and Technology (pp. 885–894).</w:t>
      </w:r>
      <w:proofErr w:type="gramEnd"/>
      <w:r w:rsidRPr="00A979E2">
        <w:t xml:space="preserve"> </w:t>
      </w:r>
      <w:proofErr w:type="gramStart"/>
      <w:r w:rsidRPr="00A979E2">
        <w:t>Springer New York.</w:t>
      </w:r>
      <w:proofErr w:type="gramEnd"/>
    </w:p>
    <w:p w:rsidR="006D50FE" w:rsidRPr="00A979E2" w:rsidRDefault="007317BE" w:rsidP="003D250C">
      <w:pPr>
        <w:pStyle w:val="References"/>
      </w:pPr>
      <w:proofErr w:type="spellStart"/>
      <w:proofErr w:type="gramStart"/>
      <w:r w:rsidRPr="00A979E2">
        <w:t>Kramarski</w:t>
      </w:r>
      <w:proofErr w:type="spellEnd"/>
      <w:r w:rsidRPr="00A979E2">
        <w:t xml:space="preserve">, B., &amp; </w:t>
      </w:r>
      <w:proofErr w:type="spellStart"/>
      <w:r w:rsidRPr="00A979E2">
        <w:t>Michalsky</w:t>
      </w:r>
      <w:proofErr w:type="spellEnd"/>
      <w:r w:rsidRPr="00A979E2">
        <w:t>, T. (2010).</w:t>
      </w:r>
      <w:proofErr w:type="gramEnd"/>
      <w:r w:rsidRPr="00A979E2">
        <w:t xml:space="preserve"> </w:t>
      </w:r>
      <w:proofErr w:type="gramStart"/>
      <w:r w:rsidRPr="00A979E2">
        <w:t>Preparing preservice teachers for self-regulated learning in the context of technological pedagogical content knowledge.</w:t>
      </w:r>
      <w:proofErr w:type="gramEnd"/>
      <w:r w:rsidRPr="00A979E2">
        <w:rPr>
          <w:i/>
          <w:iCs/>
        </w:rPr>
        <w:t xml:space="preserve"> Learning and Instruction, 20</w:t>
      </w:r>
      <w:r w:rsidRPr="00A979E2">
        <w:t xml:space="preserve">(5), 434-447. </w:t>
      </w:r>
    </w:p>
    <w:p w:rsidR="006D50FE" w:rsidRPr="00A979E2" w:rsidRDefault="007317BE" w:rsidP="003D250C">
      <w:pPr>
        <w:pStyle w:val="References"/>
      </w:pPr>
      <w:proofErr w:type="spellStart"/>
      <w:proofErr w:type="gramStart"/>
      <w:r w:rsidRPr="00A979E2">
        <w:t>Kramarski</w:t>
      </w:r>
      <w:proofErr w:type="spellEnd"/>
      <w:r w:rsidRPr="00A979E2">
        <w:t xml:space="preserve">, B., &amp; </w:t>
      </w:r>
      <w:proofErr w:type="spellStart"/>
      <w:r w:rsidRPr="00A979E2">
        <w:t>Michalsky</w:t>
      </w:r>
      <w:proofErr w:type="spellEnd"/>
      <w:r w:rsidRPr="00A979E2">
        <w:t>, T. (2013).</w:t>
      </w:r>
      <w:proofErr w:type="gramEnd"/>
      <w:r w:rsidRPr="00A979E2">
        <w:t xml:space="preserve"> Student and teacher perspectives on IMPROVE self-regulation prompts in web-based learning. In R. </w:t>
      </w:r>
      <w:proofErr w:type="spellStart"/>
      <w:r w:rsidRPr="00A979E2">
        <w:t>Azevedo</w:t>
      </w:r>
      <w:proofErr w:type="spellEnd"/>
      <w:r w:rsidRPr="00A979E2">
        <w:t xml:space="preserve">, &amp; V. </w:t>
      </w:r>
      <w:proofErr w:type="spellStart"/>
      <w:r w:rsidRPr="00A979E2">
        <w:t>Aleven</w:t>
      </w:r>
      <w:proofErr w:type="spellEnd"/>
      <w:r w:rsidRPr="00A979E2">
        <w:t xml:space="preserve"> (Eds.), Technology as a support for literacy achiev</w:t>
      </w:r>
      <w:r w:rsidRPr="00A979E2">
        <w:t>e</w:t>
      </w:r>
      <w:r w:rsidRPr="00A979E2">
        <w:t xml:space="preserve">ments for children at risk (pp. 35-51), New York: Springer. </w:t>
      </w:r>
      <w:proofErr w:type="gramStart"/>
      <w:r w:rsidRPr="00A979E2">
        <w:t>doi:</w:t>
      </w:r>
      <w:proofErr w:type="gramEnd"/>
      <w:r w:rsidRPr="00A979E2">
        <w:t xml:space="preserve">10.1007/978-1-4419-5546-3_3 </w:t>
      </w:r>
    </w:p>
    <w:p w:rsidR="006D50FE" w:rsidRPr="00A979E2" w:rsidRDefault="007317BE" w:rsidP="003D250C">
      <w:pPr>
        <w:pStyle w:val="References"/>
      </w:pPr>
      <w:r w:rsidRPr="00A979E2">
        <w:rPr>
          <w:lang w:val="de-CH"/>
        </w:rPr>
        <w:t>Magnusson, S., Krajcik, J., &amp;</w:t>
      </w:r>
      <w:r w:rsidR="006B34EB">
        <w:rPr>
          <w:lang w:val="de-CH"/>
        </w:rPr>
        <w:t xml:space="preserve"> </w:t>
      </w:r>
      <w:r w:rsidRPr="00A979E2">
        <w:rPr>
          <w:lang w:val="de-CH"/>
        </w:rPr>
        <w:t xml:space="preserve">Borko, H. (1999). </w:t>
      </w:r>
      <w:proofErr w:type="gramStart"/>
      <w:r w:rsidRPr="00A979E2">
        <w:t>Nature, sources, and development of pedagogical content knowledge for science teaching.</w:t>
      </w:r>
      <w:proofErr w:type="gramEnd"/>
      <w:r w:rsidRPr="00A979E2">
        <w:t xml:space="preserve"> In J. </w:t>
      </w:r>
      <w:proofErr w:type="spellStart"/>
      <w:r w:rsidRPr="00A979E2">
        <w:t>Gess</w:t>
      </w:r>
      <w:proofErr w:type="spellEnd"/>
      <w:r w:rsidRPr="00A979E2">
        <w:t xml:space="preserve">-Newsome &amp; N. G. Lederman (Eds.), </w:t>
      </w:r>
      <w:r w:rsidRPr="00A979E2">
        <w:rPr>
          <w:i/>
          <w:iCs/>
        </w:rPr>
        <w:t>Examining Pedagogical Co</w:t>
      </w:r>
      <w:r w:rsidRPr="00A979E2">
        <w:rPr>
          <w:i/>
          <w:iCs/>
        </w:rPr>
        <w:t>n</w:t>
      </w:r>
      <w:r w:rsidRPr="00A979E2">
        <w:rPr>
          <w:i/>
          <w:iCs/>
        </w:rPr>
        <w:t>tent Knowledge</w:t>
      </w:r>
      <w:r w:rsidRPr="00A979E2">
        <w:t xml:space="preserve"> (pp. 95-144). Dordrecht, the Netherlands: Kluwer Academic Publishers.</w:t>
      </w:r>
    </w:p>
    <w:p w:rsidR="006D50FE" w:rsidRPr="00A979E2" w:rsidRDefault="007317BE" w:rsidP="003D250C">
      <w:pPr>
        <w:pStyle w:val="References"/>
      </w:pPr>
      <w:proofErr w:type="spellStart"/>
      <w:proofErr w:type="gramStart"/>
      <w:r w:rsidRPr="00A979E2">
        <w:t>Makoul</w:t>
      </w:r>
      <w:proofErr w:type="spellEnd"/>
      <w:r w:rsidRPr="00A979E2">
        <w:t xml:space="preserve">, G., </w:t>
      </w:r>
      <w:proofErr w:type="spellStart"/>
      <w:r w:rsidRPr="00A979E2">
        <w:t>Zick</w:t>
      </w:r>
      <w:proofErr w:type="spellEnd"/>
      <w:r w:rsidRPr="00A979E2">
        <w:t xml:space="preserve">, A. B., </w:t>
      </w:r>
      <w:proofErr w:type="spellStart"/>
      <w:r w:rsidRPr="00A979E2">
        <w:t>Aakhus</w:t>
      </w:r>
      <w:proofErr w:type="spellEnd"/>
      <w:r w:rsidRPr="00A979E2">
        <w:t>, M., Neely, K. J., &amp; Roemer, P. E. (2010).</w:t>
      </w:r>
      <w:proofErr w:type="gramEnd"/>
      <w:r w:rsidRPr="00A979E2">
        <w:t xml:space="preserve"> </w:t>
      </w:r>
      <w:proofErr w:type="gramStart"/>
      <w:r w:rsidRPr="00A979E2">
        <w:t>Using an online forum to encourage reflection about difficult conversations in medicine.</w:t>
      </w:r>
      <w:proofErr w:type="gramEnd"/>
      <w:r w:rsidRPr="00A979E2">
        <w:rPr>
          <w:i/>
          <w:iCs/>
        </w:rPr>
        <w:t xml:space="preserve"> Patient Education and Counseling, 79</w:t>
      </w:r>
      <w:r w:rsidRPr="00A979E2">
        <w:t xml:space="preserve">(1), 83-86. </w:t>
      </w:r>
    </w:p>
    <w:p w:rsidR="006D50FE" w:rsidRPr="00A979E2" w:rsidRDefault="007317BE" w:rsidP="003D250C">
      <w:pPr>
        <w:pStyle w:val="References"/>
      </w:pPr>
      <w:r w:rsidRPr="00172FCF">
        <w:rPr>
          <w:lang w:val="de-CH"/>
        </w:rPr>
        <w:t xml:space="preserve">Mishra, P., &amp; Koehler, M. J. (2007). </w:t>
      </w:r>
      <w:r w:rsidRPr="00A979E2">
        <w:t>Technological pedagogical content knowledge (TPCK): Confronting the wicked problems of teaching with technology.</w:t>
      </w:r>
      <w:r w:rsidRPr="00A979E2">
        <w:rPr>
          <w:rStyle w:val="Heading1Char"/>
          <w:rFonts w:asciiTheme="majorBidi" w:hAnsiTheme="majorBidi" w:cstheme="majorBidi"/>
          <w:color w:val="333333"/>
          <w:sz w:val="20"/>
          <w:szCs w:val="20"/>
          <w:shd w:val="clear" w:color="auto" w:fill="FFFFFF"/>
        </w:rPr>
        <w:t xml:space="preserve"> </w:t>
      </w:r>
      <w:r w:rsidRPr="00A979E2">
        <w:rPr>
          <w:rStyle w:val="apple-converted-space"/>
          <w:rFonts w:asciiTheme="majorBidi" w:hAnsiTheme="majorBidi" w:cstheme="majorBidi"/>
          <w:color w:val="333333"/>
          <w:szCs w:val="20"/>
          <w:shd w:val="clear" w:color="auto" w:fill="FFFFFF"/>
        </w:rPr>
        <w:t> </w:t>
      </w:r>
      <w:r w:rsidRPr="00A979E2">
        <w:rPr>
          <w:color w:val="333333"/>
          <w:shd w:val="clear" w:color="auto" w:fill="FFFFFF"/>
        </w:rPr>
        <w:t xml:space="preserve">In R. </w:t>
      </w:r>
      <w:proofErr w:type="spellStart"/>
      <w:r w:rsidRPr="00A979E2">
        <w:rPr>
          <w:color w:val="333333"/>
          <w:shd w:val="clear" w:color="auto" w:fill="FFFFFF"/>
        </w:rPr>
        <w:t>Carlsen</w:t>
      </w:r>
      <w:proofErr w:type="spellEnd"/>
      <w:r w:rsidRPr="00A979E2">
        <w:rPr>
          <w:color w:val="333333"/>
          <w:shd w:val="clear" w:color="auto" w:fill="FFFFFF"/>
        </w:rPr>
        <w:t xml:space="preserve"> et al. (Eds.),</w:t>
      </w:r>
      <w:r w:rsidRPr="00A979E2">
        <w:t xml:space="preserve"> </w:t>
      </w:r>
      <w:r w:rsidRPr="00A979E2">
        <w:rPr>
          <w:i/>
          <w:iCs/>
        </w:rPr>
        <w:t xml:space="preserve">Proceedings of Society for Information Technology &amp; Teacher Education International Conference (pp. </w:t>
      </w:r>
      <w:r w:rsidRPr="00A979E2">
        <w:t>2214-2226).</w:t>
      </w:r>
      <w:r w:rsidRPr="00A979E2">
        <w:rPr>
          <w:i/>
          <w:iCs/>
        </w:rPr>
        <w:t xml:space="preserve"> </w:t>
      </w:r>
      <w:r w:rsidRPr="00A979E2">
        <w:t xml:space="preserve">San Antonio, Texas, USA: AACE. </w:t>
      </w:r>
    </w:p>
    <w:p w:rsidR="006D50FE" w:rsidRPr="00A979E2" w:rsidRDefault="007317BE" w:rsidP="003D250C">
      <w:pPr>
        <w:pStyle w:val="References"/>
      </w:pPr>
      <w:proofErr w:type="gramStart"/>
      <w:r w:rsidRPr="00A979E2">
        <w:t xml:space="preserve">Norris, C. &amp; </w:t>
      </w:r>
      <w:proofErr w:type="spellStart"/>
      <w:r w:rsidRPr="00A979E2">
        <w:t>Soloway</w:t>
      </w:r>
      <w:proofErr w:type="spellEnd"/>
      <w:r w:rsidRPr="00A979E2">
        <w:t>, E. (2006).</w:t>
      </w:r>
      <w:proofErr w:type="gramEnd"/>
      <w:r w:rsidRPr="00A979E2">
        <w:t xml:space="preserve"> Emerging, Disruptive Technologies for Teaching and Learning: A Brief Su</w:t>
      </w:r>
      <w:r w:rsidRPr="00A979E2">
        <w:t>r</w:t>
      </w:r>
      <w:r w:rsidRPr="00A979E2">
        <w:t>vey. In C. Crawford et al. (Eds.), Proceedings of Society for Information Technology &amp; Teacher Education International Conference 2006 (pp. 2353-2355). Chesapeake, VA: AACE. </w:t>
      </w:r>
      <w:proofErr w:type="gramStart"/>
      <w:r w:rsidRPr="00A979E2">
        <w:t>Retrieved on February 16, 2014</w:t>
      </w:r>
      <w:r w:rsidR="00F67803" w:rsidRPr="00A979E2">
        <w:t xml:space="preserve"> </w:t>
      </w:r>
      <w:r w:rsidRPr="00A979E2">
        <w:t>from</w:t>
      </w:r>
      <w:r w:rsidR="00F67803" w:rsidRPr="00A979E2">
        <w:t xml:space="preserve"> </w:t>
      </w:r>
      <w:hyperlink r:id="rId15" w:history="1">
        <w:r w:rsidRPr="00A979E2">
          <w:t>http://www.editlib.org/p/22423</w:t>
        </w:r>
      </w:hyperlink>
      <w:r w:rsidRPr="00A979E2">
        <w:t>.</w:t>
      </w:r>
      <w:proofErr w:type="gramEnd"/>
      <w:r w:rsidRPr="00A979E2">
        <w:t xml:space="preserve"> </w:t>
      </w:r>
    </w:p>
    <w:p w:rsidR="006373B3" w:rsidRPr="006373B3" w:rsidRDefault="006373B3" w:rsidP="003D250C">
      <w:pPr>
        <w:pStyle w:val="References"/>
        <w:rPr>
          <w:szCs w:val="22"/>
        </w:rPr>
      </w:pPr>
      <w:proofErr w:type="gramStart"/>
      <w:r w:rsidRPr="006373B3">
        <w:rPr>
          <w:szCs w:val="22"/>
        </w:rPr>
        <w:t>OECD.</w:t>
      </w:r>
      <w:proofErr w:type="gramEnd"/>
      <w:r w:rsidRPr="006373B3">
        <w:rPr>
          <w:szCs w:val="22"/>
        </w:rPr>
        <w:t xml:space="preserve"> </w:t>
      </w:r>
      <w:proofErr w:type="gramStart"/>
      <w:r w:rsidRPr="006373B3">
        <w:rPr>
          <w:szCs w:val="22"/>
        </w:rPr>
        <w:t xml:space="preserve">(2013). </w:t>
      </w:r>
      <w:r w:rsidRPr="006373B3">
        <w:rPr>
          <w:i/>
          <w:iCs/>
          <w:szCs w:val="22"/>
        </w:rPr>
        <w:t>Innovative Learning Environments, Educational Research and Innovation</w:t>
      </w:r>
      <w:r w:rsidRPr="006373B3">
        <w:rPr>
          <w:szCs w:val="22"/>
        </w:rPr>
        <w:t>.</w:t>
      </w:r>
      <w:proofErr w:type="gramEnd"/>
      <w:r w:rsidRPr="006373B3">
        <w:rPr>
          <w:szCs w:val="22"/>
        </w:rPr>
        <w:t xml:space="preserve"> OECD Publishing. </w:t>
      </w:r>
      <w:hyperlink r:id="rId16" w:history="1">
        <w:r w:rsidRPr="006373B3">
          <w:rPr>
            <w:rStyle w:val="Hyperlink"/>
            <w:szCs w:val="22"/>
          </w:rPr>
          <w:t>http://doi.org/10.1787/9789264203488-en</w:t>
        </w:r>
      </w:hyperlink>
    </w:p>
    <w:p w:rsidR="006D50FE" w:rsidRPr="00A979E2" w:rsidRDefault="007317BE" w:rsidP="003D250C">
      <w:pPr>
        <w:pStyle w:val="References"/>
      </w:pPr>
      <w:proofErr w:type="spellStart"/>
      <w:r w:rsidRPr="00A979E2">
        <w:t>O</w:t>
      </w:r>
      <w:r w:rsidR="00045CD7">
        <w:t>’</w:t>
      </w:r>
      <w:r w:rsidRPr="00A979E2">
        <w:t>reilly</w:t>
      </w:r>
      <w:proofErr w:type="spellEnd"/>
      <w:r w:rsidRPr="00A979E2">
        <w:t xml:space="preserve">, D. (2003). </w:t>
      </w:r>
      <w:proofErr w:type="gramStart"/>
      <w:r w:rsidRPr="00A979E2">
        <w:t>Making information and communications technology work.</w:t>
      </w:r>
      <w:proofErr w:type="gramEnd"/>
      <w:r w:rsidRPr="00A979E2">
        <w:rPr>
          <w:i/>
          <w:iCs/>
        </w:rPr>
        <w:t xml:space="preserve"> Technology, Pedagogy and Education, 12</w:t>
      </w:r>
      <w:r w:rsidRPr="00A979E2">
        <w:t xml:space="preserve">(3), 417-446. </w:t>
      </w:r>
    </w:p>
    <w:p w:rsidR="006D50FE" w:rsidRPr="00A979E2" w:rsidRDefault="007317BE" w:rsidP="003D250C">
      <w:pPr>
        <w:pStyle w:val="References"/>
      </w:pPr>
      <w:r w:rsidRPr="00A979E2">
        <w:rPr>
          <w:lang w:val="de-CH"/>
        </w:rPr>
        <w:t xml:space="preserve">Oster-Levinz, A., &amp; Klieger, A. (2010). </w:t>
      </w:r>
      <w:proofErr w:type="gramStart"/>
      <w:r w:rsidRPr="00A979E2">
        <w:t>Online tasks as a tool to promote teachers</w:t>
      </w:r>
      <w:r w:rsidR="00045CD7">
        <w:t>’</w:t>
      </w:r>
      <w:r w:rsidRPr="00A979E2">
        <w:t xml:space="preserve"> expertise within the techn</w:t>
      </w:r>
      <w:r w:rsidRPr="00A979E2">
        <w:t>o</w:t>
      </w:r>
      <w:r w:rsidRPr="00A979E2">
        <w:t>logical pedagogical content knowledge (TPACK).</w:t>
      </w:r>
      <w:proofErr w:type="gramEnd"/>
      <w:r w:rsidRPr="00A979E2">
        <w:rPr>
          <w:i/>
          <w:iCs/>
        </w:rPr>
        <w:t xml:space="preserve"> Procedia-Social and Behavioral Sciences, 2</w:t>
      </w:r>
      <w:r w:rsidRPr="00A979E2">
        <w:t xml:space="preserve">(2), 354-358. </w:t>
      </w:r>
    </w:p>
    <w:p w:rsidR="006D50FE" w:rsidRPr="00A979E2" w:rsidRDefault="007317BE" w:rsidP="003D250C">
      <w:pPr>
        <w:pStyle w:val="References"/>
      </w:pPr>
      <w:proofErr w:type="gramStart"/>
      <w:r w:rsidRPr="00A979E2">
        <w:t xml:space="preserve">Polly, D., Mims, C., Shepherd, C. E., &amp; </w:t>
      </w:r>
      <w:proofErr w:type="spellStart"/>
      <w:r w:rsidRPr="00A979E2">
        <w:t>Inan</w:t>
      </w:r>
      <w:proofErr w:type="spellEnd"/>
      <w:r w:rsidRPr="00A979E2">
        <w:t>, F. (2010).</w:t>
      </w:r>
      <w:proofErr w:type="gramEnd"/>
      <w:r w:rsidRPr="00A979E2">
        <w:t xml:space="preserve"> Evidence of impact: Transforming teacher education with preparing tomorrow</w:t>
      </w:r>
      <w:r w:rsidR="00045CD7">
        <w:t>’</w:t>
      </w:r>
      <w:r w:rsidRPr="00A979E2">
        <w:t>s teachers to teach with technology (PT3) grants.</w:t>
      </w:r>
      <w:r w:rsidRPr="00A979E2">
        <w:rPr>
          <w:i/>
          <w:iCs/>
        </w:rPr>
        <w:t xml:space="preserve"> Teaching and Teacher Education, 26</w:t>
      </w:r>
      <w:r w:rsidRPr="00A979E2">
        <w:t xml:space="preserve">(4), 863-870. </w:t>
      </w:r>
    </w:p>
    <w:p w:rsidR="006D50FE" w:rsidRPr="00A979E2" w:rsidRDefault="007317BE" w:rsidP="003D250C">
      <w:pPr>
        <w:pStyle w:val="References"/>
      </w:pPr>
      <w:proofErr w:type="spellStart"/>
      <w:proofErr w:type="gramStart"/>
      <w:r w:rsidRPr="00A979E2">
        <w:t>Prestridge</w:t>
      </w:r>
      <w:proofErr w:type="spellEnd"/>
      <w:r w:rsidRPr="00A979E2">
        <w:t>, S. (2010).</w:t>
      </w:r>
      <w:proofErr w:type="gramEnd"/>
      <w:r w:rsidRPr="00A979E2">
        <w:t xml:space="preserve"> ICT professional development for teachers in online forums: </w:t>
      </w:r>
      <w:proofErr w:type="spellStart"/>
      <w:r w:rsidRPr="00A979E2">
        <w:t>Analysing</w:t>
      </w:r>
      <w:proofErr w:type="spellEnd"/>
      <w:r w:rsidRPr="00A979E2">
        <w:t xml:space="preserve"> the role of di</w:t>
      </w:r>
      <w:r w:rsidRPr="00A979E2">
        <w:t>s</w:t>
      </w:r>
      <w:r w:rsidRPr="00A979E2">
        <w:t>cussion.</w:t>
      </w:r>
      <w:r w:rsidRPr="00A979E2">
        <w:rPr>
          <w:i/>
          <w:iCs/>
        </w:rPr>
        <w:t xml:space="preserve"> Teaching and Teacher Education, 26</w:t>
      </w:r>
      <w:r w:rsidRPr="00A979E2">
        <w:t xml:space="preserve">(2), 252-258. </w:t>
      </w:r>
    </w:p>
    <w:p w:rsidR="006D50FE" w:rsidRPr="00A979E2" w:rsidRDefault="007317BE" w:rsidP="003D250C">
      <w:pPr>
        <w:pStyle w:val="References"/>
        <w:rPr>
          <w:rtl/>
        </w:rPr>
      </w:pPr>
      <w:proofErr w:type="gramStart"/>
      <w:r w:rsidRPr="00A979E2">
        <w:t xml:space="preserve">Raby, C. &amp; </w:t>
      </w:r>
      <w:proofErr w:type="spellStart"/>
      <w:r w:rsidRPr="00A979E2">
        <w:t>Meunier</w:t>
      </w:r>
      <w:proofErr w:type="spellEnd"/>
      <w:r w:rsidRPr="00A979E2">
        <w:t>, H. (2011).</w:t>
      </w:r>
      <w:proofErr w:type="gramEnd"/>
      <w:r w:rsidRPr="00A979E2">
        <w:t xml:space="preserve"> </w:t>
      </w:r>
      <w:proofErr w:type="gramStart"/>
      <w:r w:rsidRPr="00A979E2">
        <w:t>Factors influencing ICT integration according to the teacher</w:t>
      </w:r>
      <w:r w:rsidR="00045CD7">
        <w:t>’</w:t>
      </w:r>
      <w:r w:rsidRPr="00A979E2">
        <w:t>s level of pedago</w:t>
      </w:r>
      <w:r w:rsidRPr="00A979E2">
        <w:t>g</w:t>
      </w:r>
      <w:r w:rsidRPr="00A979E2">
        <w:t>ical integration.</w:t>
      </w:r>
      <w:proofErr w:type="gramEnd"/>
      <w:r w:rsidRPr="00A979E2">
        <w:t xml:space="preserve"> In M. Koehler &amp; P. Mishra (Eds.), Proceedings of Society for Information Technology &amp; Teacher Education International Conference 2011(pp. 2667-2673). Chesapeake, VA: AACE. </w:t>
      </w:r>
      <w:proofErr w:type="gramStart"/>
      <w:r w:rsidRPr="00A979E2">
        <w:t>Retrieved on February 16, 2014 from</w:t>
      </w:r>
      <w:r w:rsidR="00F67803" w:rsidRPr="00A979E2">
        <w:t xml:space="preserve"> </w:t>
      </w:r>
      <w:hyperlink r:id="rId17" w:history="1">
        <w:r w:rsidRPr="00A979E2">
          <w:t>http://www.editlib.org/p/36717</w:t>
        </w:r>
      </w:hyperlink>
      <w:r w:rsidRPr="00A979E2">
        <w:t>.</w:t>
      </w:r>
      <w:proofErr w:type="gramEnd"/>
    </w:p>
    <w:p w:rsidR="006D50FE" w:rsidRPr="00A979E2" w:rsidRDefault="007317BE" w:rsidP="003D250C">
      <w:pPr>
        <w:pStyle w:val="References"/>
      </w:pPr>
      <w:proofErr w:type="spellStart"/>
      <w:r w:rsidRPr="00A979E2">
        <w:t>Rienties</w:t>
      </w:r>
      <w:proofErr w:type="spellEnd"/>
      <w:r w:rsidRPr="00A979E2">
        <w:t xml:space="preserve">, B., </w:t>
      </w:r>
      <w:proofErr w:type="spellStart"/>
      <w:r w:rsidRPr="00A979E2">
        <w:t>Brouwer</w:t>
      </w:r>
      <w:proofErr w:type="spellEnd"/>
      <w:r w:rsidRPr="00A979E2">
        <w:t xml:space="preserve">, N., &amp; </w:t>
      </w:r>
      <w:proofErr w:type="spellStart"/>
      <w:r w:rsidRPr="00A979E2">
        <w:t>Lygo</w:t>
      </w:r>
      <w:proofErr w:type="spellEnd"/>
      <w:r w:rsidRPr="00A979E2">
        <w:t xml:space="preserve">-Baker, S. (2013). </w:t>
      </w:r>
      <w:proofErr w:type="gramStart"/>
      <w:r w:rsidRPr="00A979E2">
        <w:t>The effects of online professional development on higher education teachers</w:t>
      </w:r>
      <w:r w:rsidR="00045CD7">
        <w:t>’</w:t>
      </w:r>
      <w:r w:rsidRPr="00A979E2">
        <w:t xml:space="preserve"> beliefs and intentions towards learning facilitation and technology.</w:t>
      </w:r>
      <w:proofErr w:type="gramEnd"/>
      <w:r w:rsidRPr="00A979E2">
        <w:rPr>
          <w:i/>
          <w:iCs/>
        </w:rPr>
        <w:t xml:space="preserve"> Teaching and Teacher Education, 29</w:t>
      </w:r>
      <w:r w:rsidRPr="00A979E2">
        <w:t xml:space="preserve">, 122-131. </w:t>
      </w:r>
    </w:p>
    <w:p w:rsidR="006D50FE" w:rsidRPr="00A979E2" w:rsidRDefault="007317BE" w:rsidP="003D250C">
      <w:pPr>
        <w:pStyle w:val="References"/>
      </w:pPr>
      <w:r w:rsidRPr="00A979E2">
        <w:rPr>
          <w:lang w:val="de-CH"/>
        </w:rPr>
        <w:t xml:space="preserve">Rubin, B., Fernandes, R., &amp; Avgerinou, M. D. (2013). </w:t>
      </w:r>
      <w:proofErr w:type="gramStart"/>
      <w:r w:rsidRPr="00A979E2">
        <w:t>The effects of technology on the community of inquiry and satisfaction with online courses.</w:t>
      </w:r>
      <w:proofErr w:type="gramEnd"/>
      <w:r w:rsidRPr="00A979E2">
        <w:rPr>
          <w:i/>
          <w:iCs/>
        </w:rPr>
        <w:t xml:space="preserve"> The Internet and Higher Education, 17</w:t>
      </w:r>
      <w:r w:rsidRPr="00A979E2">
        <w:t xml:space="preserve">, 48-57. </w:t>
      </w:r>
      <w:proofErr w:type="spellStart"/>
      <w:r w:rsidRPr="00A979E2">
        <w:t>doi:http</w:t>
      </w:r>
      <w:proofErr w:type="spellEnd"/>
      <w:r w:rsidRPr="00A979E2">
        <w:t xml:space="preserve">://dx.doi.org/10.1016/j.iheduc.2012.09.006 </w:t>
      </w:r>
    </w:p>
    <w:p w:rsidR="006373B3" w:rsidRDefault="007317BE" w:rsidP="003D250C">
      <w:pPr>
        <w:pStyle w:val="References"/>
      </w:pPr>
      <w:r w:rsidRPr="00A979E2">
        <w:rPr>
          <w:lang w:val="de-CH"/>
        </w:rPr>
        <w:t xml:space="preserve">Ruiz, J. G., Mintzer, M. J., &amp; Leipzig, R. M. (2006). </w:t>
      </w:r>
      <w:proofErr w:type="gramStart"/>
      <w:r w:rsidRPr="00A979E2">
        <w:t>The impact of e learning in medical education.</w:t>
      </w:r>
      <w:proofErr w:type="gramEnd"/>
      <w:r w:rsidRPr="00A979E2">
        <w:rPr>
          <w:i/>
          <w:iCs/>
        </w:rPr>
        <w:t xml:space="preserve"> Academic Medicine, 81</w:t>
      </w:r>
      <w:r w:rsidRPr="00A979E2">
        <w:t xml:space="preserve">(3), 207-212. </w:t>
      </w:r>
    </w:p>
    <w:p w:rsidR="006373B3" w:rsidRPr="006373B3" w:rsidRDefault="006373B3" w:rsidP="003D250C">
      <w:pPr>
        <w:pStyle w:val="References"/>
        <w:rPr>
          <w:szCs w:val="18"/>
        </w:rPr>
      </w:pPr>
      <w:proofErr w:type="spellStart"/>
      <w:r w:rsidRPr="00B01B27">
        <w:rPr>
          <w:szCs w:val="18"/>
          <w:lang w:val="es-ES_tradnl"/>
        </w:rPr>
        <w:t>Ryan</w:t>
      </w:r>
      <w:proofErr w:type="spellEnd"/>
      <w:r w:rsidRPr="00B01B27">
        <w:rPr>
          <w:szCs w:val="18"/>
          <w:lang w:val="es-ES_tradnl"/>
        </w:rPr>
        <w:t xml:space="preserve">, R. M., &amp; </w:t>
      </w:r>
      <w:proofErr w:type="spellStart"/>
      <w:r w:rsidRPr="00B01B27">
        <w:rPr>
          <w:szCs w:val="18"/>
          <w:lang w:val="es-ES_tradnl"/>
        </w:rPr>
        <w:t>Deci</w:t>
      </w:r>
      <w:proofErr w:type="spellEnd"/>
      <w:r w:rsidRPr="00B01B27">
        <w:rPr>
          <w:szCs w:val="18"/>
          <w:lang w:val="es-ES_tradnl"/>
        </w:rPr>
        <w:t xml:space="preserve">, E. L. (2000). </w:t>
      </w:r>
      <w:proofErr w:type="gramStart"/>
      <w:r w:rsidRPr="006373B3">
        <w:rPr>
          <w:szCs w:val="18"/>
        </w:rPr>
        <w:t>Self-determination theory and the facilitation of intrinsic motivation, social development, and well-being.</w:t>
      </w:r>
      <w:proofErr w:type="gramEnd"/>
      <w:r w:rsidRPr="006373B3">
        <w:rPr>
          <w:szCs w:val="18"/>
        </w:rPr>
        <w:t xml:space="preserve"> </w:t>
      </w:r>
      <w:r w:rsidRPr="006373B3">
        <w:rPr>
          <w:i/>
          <w:iCs/>
          <w:szCs w:val="18"/>
        </w:rPr>
        <w:t>The American Psychologist</w:t>
      </w:r>
      <w:r w:rsidRPr="006373B3">
        <w:rPr>
          <w:szCs w:val="18"/>
        </w:rPr>
        <w:t xml:space="preserve">, </w:t>
      </w:r>
      <w:r w:rsidRPr="006373B3">
        <w:rPr>
          <w:i/>
          <w:iCs/>
          <w:szCs w:val="18"/>
        </w:rPr>
        <w:t>55</w:t>
      </w:r>
      <w:r w:rsidRPr="006373B3">
        <w:rPr>
          <w:szCs w:val="18"/>
        </w:rPr>
        <w:t xml:space="preserve">(1), 68–78. </w:t>
      </w:r>
    </w:p>
    <w:p w:rsidR="006D50FE" w:rsidRPr="00A979E2" w:rsidRDefault="007317BE" w:rsidP="003D250C">
      <w:pPr>
        <w:pStyle w:val="References"/>
      </w:pPr>
      <w:proofErr w:type="spellStart"/>
      <w:r w:rsidRPr="00A979E2">
        <w:t>Sandars</w:t>
      </w:r>
      <w:proofErr w:type="spellEnd"/>
      <w:r w:rsidRPr="00A979E2">
        <w:t>, J. (2009). The use of reflection in medical education: AMEE guide no. 44.</w:t>
      </w:r>
      <w:r w:rsidRPr="00A979E2">
        <w:rPr>
          <w:i/>
          <w:iCs/>
        </w:rPr>
        <w:t xml:space="preserve"> Medical Teacher, 31</w:t>
      </w:r>
      <w:r w:rsidRPr="00A979E2">
        <w:t xml:space="preserve">(8), 685-695. </w:t>
      </w:r>
    </w:p>
    <w:p w:rsidR="006D50FE" w:rsidRPr="00A979E2" w:rsidRDefault="007317BE" w:rsidP="003D250C">
      <w:pPr>
        <w:pStyle w:val="References"/>
      </w:pPr>
      <w:proofErr w:type="spellStart"/>
      <w:proofErr w:type="gramStart"/>
      <w:r w:rsidRPr="00A979E2">
        <w:lastRenderedPageBreak/>
        <w:t>Sargeant</w:t>
      </w:r>
      <w:proofErr w:type="spellEnd"/>
      <w:r w:rsidRPr="00A979E2">
        <w:t>, J., Curran, V., Allen, M., Jarvis</w:t>
      </w:r>
      <w:r w:rsidRPr="00A979E2">
        <w:rPr>
          <w:rFonts w:ascii="Cambria Math" w:hAnsi="Cambria Math" w:cs="Cambria Math"/>
        </w:rPr>
        <w:t>‐</w:t>
      </w:r>
      <w:proofErr w:type="spellStart"/>
      <w:r w:rsidRPr="00A979E2">
        <w:t>Selinger</w:t>
      </w:r>
      <w:proofErr w:type="spellEnd"/>
      <w:r w:rsidRPr="00A979E2">
        <w:t>, S., &amp; Ho, K. (2006).</w:t>
      </w:r>
      <w:proofErr w:type="gramEnd"/>
      <w:r w:rsidRPr="00A979E2">
        <w:t xml:space="preserve"> Facilitating interpersonal interaction and learning online: Linking theory and practice.</w:t>
      </w:r>
      <w:r w:rsidRPr="00A979E2">
        <w:rPr>
          <w:i/>
          <w:iCs/>
        </w:rPr>
        <w:t xml:space="preserve"> Journal of Continuing Education in the Health Professions, 26</w:t>
      </w:r>
      <w:r w:rsidRPr="00A979E2">
        <w:t xml:space="preserve">(2), 128-136. </w:t>
      </w:r>
    </w:p>
    <w:p w:rsidR="006D50FE" w:rsidRPr="00A979E2" w:rsidRDefault="007317BE" w:rsidP="003D250C">
      <w:pPr>
        <w:pStyle w:val="References"/>
      </w:pPr>
      <w:proofErr w:type="spellStart"/>
      <w:r w:rsidRPr="00A979E2">
        <w:t>Schneckenberg</w:t>
      </w:r>
      <w:proofErr w:type="spellEnd"/>
      <w:r w:rsidRPr="00A979E2">
        <w:t xml:space="preserve">, D. (2010). Overcoming barriers for eLearning in universities—portfolio models for </w:t>
      </w:r>
      <w:proofErr w:type="spellStart"/>
      <w:r w:rsidRPr="00A979E2">
        <w:t>eComp</w:t>
      </w:r>
      <w:r w:rsidRPr="00A979E2">
        <w:t>e</w:t>
      </w:r>
      <w:r w:rsidRPr="00A979E2">
        <w:t>tence</w:t>
      </w:r>
      <w:proofErr w:type="spellEnd"/>
      <w:r w:rsidRPr="00A979E2">
        <w:t xml:space="preserve"> development of faculty.</w:t>
      </w:r>
      <w:r w:rsidRPr="00A979E2">
        <w:rPr>
          <w:i/>
          <w:iCs/>
        </w:rPr>
        <w:t xml:space="preserve"> British Journal of Educational Technology, 41</w:t>
      </w:r>
      <w:r w:rsidRPr="00A979E2">
        <w:t xml:space="preserve">(6), 979-991. </w:t>
      </w:r>
    </w:p>
    <w:p w:rsidR="006D50FE" w:rsidRPr="00A979E2" w:rsidRDefault="007317BE" w:rsidP="003D250C">
      <w:pPr>
        <w:pStyle w:val="References"/>
      </w:pPr>
      <w:proofErr w:type="spellStart"/>
      <w:r w:rsidRPr="00A979E2">
        <w:t>Schön</w:t>
      </w:r>
      <w:proofErr w:type="spellEnd"/>
      <w:r w:rsidRPr="00A979E2">
        <w:t xml:space="preserve">, D. (1988). </w:t>
      </w:r>
      <w:proofErr w:type="gramStart"/>
      <w:r w:rsidRPr="00A979E2">
        <w:t>Coaching reflective teaching.</w:t>
      </w:r>
      <w:proofErr w:type="gramEnd"/>
      <w:r w:rsidRPr="00A979E2">
        <w:rPr>
          <w:i/>
          <w:iCs/>
        </w:rPr>
        <w:t xml:space="preserve"> Reflection in Teacher Education,</w:t>
      </w:r>
      <w:r w:rsidRPr="00A979E2">
        <w:t xml:space="preserve"> pp. 19-29. New York: Teachers College.</w:t>
      </w:r>
    </w:p>
    <w:p w:rsidR="006D50FE" w:rsidRPr="00A979E2" w:rsidRDefault="007317BE" w:rsidP="003D250C">
      <w:pPr>
        <w:pStyle w:val="References"/>
      </w:pPr>
      <w:r w:rsidRPr="00A979E2">
        <w:t>Schulman, L. S. (1987). Knowledge and teaching: Foundations of the new reform.</w:t>
      </w:r>
      <w:r w:rsidRPr="00A979E2">
        <w:rPr>
          <w:i/>
          <w:iCs/>
        </w:rPr>
        <w:t xml:space="preserve"> Harvard Educational Review, 57</w:t>
      </w:r>
      <w:r w:rsidRPr="00A979E2">
        <w:t xml:space="preserve">(1), 1-23. </w:t>
      </w:r>
    </w:p>
    <w:p w:rsidR="006D50FE" w:rsidRPr="00A979E2" w:rsidRDefault="007317BE" w:rsidP="003D250C">
      <w:pPr>
        <w:pStyle w:val="References"/>
      </w:pPr>
      <w:proofErr w:type="spellStart"/>
      <w:r w:rsidRPr="00A979E2">
        <w:t>Steinert</w:t>
      </w:r>
      <w:proofErr w:type="spellEnd"/>
      <w:r w:rsidRPr="00A979E2">
        <w:t>, Y. (2012). Faculty development: On becoming a medical educator.</w:t>
      </w:r>
      <w:r w:rsidRPr="00A979E2">
        <w:rPr>
          <w:i/>
          <w:iCs/>
        </w:rPr>
        <w:t xml:space="preserve"> Medical Teacher, 34</w:t>
      </w:r>
      <w:r w:rsidRPr="00A979E2">
        <w:t xml:space="preserve">(1), 74-76. </w:t>
      </w:r>
    </w:p>
    <w:p w:rsidR="006D50FE" w:rsidRPr="00A979E2" w:rsidRDefault="007317BE" w:rsidP="003D250C">
      <w:pPr>
        <w:pStyle w:val="References"/>
      </w:pPr>
      <w:proofErr w:type="spellStart"/>
      <w:proofErr w:type="gramStart"/>
      <w:r w:rsidRPr="00A979E2">
        <w:t>Tearle</w:t>
      </w:r>
      <w:proofErr w:type="spellEnd"/>
      <w:r w:rsidRPr="00A979E2">
        <w:t>, P., &amp; Golder, G. (2008).</w:t>
      </w:r>
      <w:proofErr w:type="gramEnd"/>
      <w:r w:rsidRPr="00A979E2">
        <w:t xml:space="preserve"> The use of ICT in the teaching and learning of physical education in compu</w:t>
      </w:r>
      <w:r w:rsidRPr="00A979E2">
        <w:t>l</w:t>
      </w:r>
      <w:r w:rsidRPr="00A979E2">
        <w:t>sory education: How do we prepare the workforce of the future?</w:t>
      </w:r>
      <w:r w:rsidRPr="00A979E2">
        <w:rPr>
          <w:i/>
          <w:iCs/>
        </w:rPr>
        <w:t xml:space="preserve"> European Journal of Teacher Education, 31</w:t>
      </w:r>
      <w:r w:rsidRPr="00A979E2">
        <w:t xml:space="preserve">(1), 55-72. </w:t>
      </w:r>
    </w:p>
    <w:p w:rsidR="006D50FE" w:rsidRPr="00A979E2" w:rsidRDefault="007317BE" w:rsidP="003D250C">
      <w:pPr>
        <w:pStyle w:val="References"/>
      </w:pPr>
      <w:r w:rsidRPr="00A979E2">
        <w:rPr>
          <w:lang w:val="de-CH"/>
        </w:rPr>
        <w:t xml:space="preserve">Tondeur, J., van Braak, J., Sang, G., Voogt, J., Fisser, P., &amp; Ottenbreit-Leftwich, A. (2012). </w:t>
      </w:r>
      <w:proofErr w:type="gramStart"/>
      <w:r w:rsidRPr="00A979E2">
        <w:t>Preparing pre-service teachers to integrate technology in education: A synthesis of qualitative evidence.</w:t>
      </w:r>
      <w:proofErr w:type="gramEnd"/>
      <w:r w:rsidRPr="00A979E2">
        <w:rPr>
          <w:i/>
          <w:iCs/>
        </w:rPr>
        <w:t xml:space="preserve"> Computers &amp; Education, 59</w:t>
      </w:r>
      <w:r w:rsidRPr="00A979E2">
        <w:t xml:space="preserve">(1), 134-144. </w:t>
      </w:r>
    </w:p>
    <w:p w:rsidR="006D50FE" w:rsidRPr="00A979E2" w:rsidRDefault="007317BE" w:rsidP="003D250C">
      <w:pPr>
        <w:pStyle w:val="References"/>
      </w:pPr>
      <w:proofErr w:type="gramStart"/>
      <w:r w:rsidRPr="00A979E2">
        <w:t xml:space="preserve">Wong, G., </w:t>
      </w:r>
      <w:proofErr w:type="spellStart"/>
      <w:r w:rsidRPr="00A979E2">
        <w:t>Greenhalgh</w:t>
      </w:r>
      <w:proofErr w:type="spellEnd"/>
      <w:r w:rsidRPr="00A979E2">
        <w:t>, T., &amp; Pawson, R. (2010).</w:t>
      </w:r>
      <w:proofErr w:type="gramEnd"/>
      <w:r w:rsidRPr="00A979E2">
        <w:t xml:space="preserve"> Internet-based medical education: A realist review of what works, for whom and in what circumstances.</w:t>
      </w:r>
      <w:r w:rsidRPr="00A979E2">
        <w:rPr>
          <w:i/>
          <w:iCs/>
        </w:rPr>
        <w:t xml:space="preserve"> </w:t>
      </w:r>
      <w:proofErr w:type="gramStart"/>
      <w:r w:rsidRPr="00A979E2">
        <w:rPr>
          <w:i/>
          <w:iCs/>
        </w:rPr>
        <w:t>BMC Medical Education, 10</w:t>
      </w:r>
      <w:r w:rsidRPr="00A979E2">
        <w:t>(1), 12.</w:t>
      </w:r>
      <w:proofErr w:type="gramEnd"/>
      <w:r w:rsidRPr="00A979E2">
        <w:t xml:space="preserve"> </w:t>
      </w:r>
      <w:proofErr w:type="gramStart"/>
      <w:r w:rsidRPr="00A979E2">
        <w:t>doi:</w:t>
      </w:r>
      <w:proofErr w:type="gramEnd"/>
      <w:r w:rsidRPr="00A979E2">
        <w:t>10.1186/1472-6920-10-12</w:t>
      </w:r>
    </w:p>
    <w:p w:rsidR="006D50FE" w:rsidRPr="00A979E2" w:rsidRDefault="007317BE" w:rsidP="003D250C">
      <w:pPr>
        <w:pStyle w:val="References"/>
      </w:pPr>
      <w:proofErr w:type="gramStart"/>
      <w:r w:rsidRPr="00A979E2">
        <w:t>Zohar, A., &amp; David, A. B. (2008).</w:t>
      </w:r>
      <w:proofErr w:type="gramEnd"/>
      <w:r w:rsidRPr="00A979E2">
        <w:t xml:space="preserve"> </w:t>
      </w:r>
      <w:proofErr w:type="gramStart"/>
      <w:r w:rsidRPr="00A979E2">
        <w:t>Explicit teaching of meta-strategic knowledge in authentic classroom situ</w:t>
      </w:r>
      <w:r w:rsidRPr="00A979E2">
        <w:t>a</w:t>
      </w:r>
      <w:r w:rsidRPr="00A979E2">
        <w:t>tions.</w:t>
      </w:r>
      <w:proofErr w:type="gramEnd"/>
      <w:r w:rsidRPr="00A979E2">
        <w:rPr>
          <w:i/>
          <w:iCs/>
        </w:rPr>
        <w:t xml:space="preserve"> Metacognition and Learning, 3</w:t>
      </w:r>
      <w:r w:rsidRPr="00A979E2">
        <w:t xml:space="preserve">(1), 59-82. </w:t>
      </w:r>
    </w:p>
    <w:p w:rsidR="006D50FE" w:rsidRDefault="007317BE" w:rsidP="003D250C">
      <w:pPr>
        <w:pStyle w:val="References"/>
      </w:pPr>
      <w:r w:rsidRPr="00A979E2">
        <w:rPr>
          <w:lang w:val="de-CH"/>
        </w:rPr>
        <w:t xml:space="preserve">Zohar, A., &amp; Dori, Y. J. (2012). </w:t>
      </w:r>
      <w:r w:rsidRPr="00A979E2">
        <w:rPr>
          <w:i/>
          <w:iCs/>
        </w:rPr>
        <w:t>Metacognition in Science Education: Trends in Current Research.</w:t>
      </w:r>
      <w:r w:rsidRPr="00A979E2">
        <w:t xml:space="preserve"> Dordrecht: Springer.</w:t>
      </w:r>
      <w:r>
        <w:t xml:space="preserve"> </w:t>
      </w:r>
    </w:p>
    <w:p w:rsidR="00857059" w:rsidRDefault="00857059" w:rsidP="003D250C">
      <w:pPr>
        <w:pStyle w:val="References"/>
        <w:rPr>
          <w:rFonts w:ascii="Arial" w:hAnsi="Arial" w:cs="Arial"/>
          <w:b/>
          <w:bCs/>
          <w:kern w:val="32"/>
          <w:sz w:val="32"/>
          <w:szCs w:val="32"/>
        </w:rPr>
      </w:pPr>
    </w:p>
    <w:p w:rsidR="006D50FE" w:rsidRDefault="006D50FE">
      <w:pPr>
        <w:rPr>
          <w:rFonts w:eastAsia="Calibri"/>
          <w:b/>
          <w:bCs/>
          <w:sz w:val="24"/>
        </w:rPr>
      </w:pPr>
    </w:p>
    <w:p w:rsidR="006D50FE" w:rsidRDefault="006D50FE">
      <w:pPr>
        <w:pStyle w:val="Tavla"/>
        <w:sectPr w:rsidR="006D50FE" w:rsidSect="009E164D">
          <w:headerReference w:type="even" r:id="rId18"/>
          <w:headerReference w:type="default" r:id="rId19"/>
          <w:footerReference w:type="even" r:id="rId20"/>
          <w:footerReference w:type="default" r:id="rId21"/>
          <w:headerReference w:type="first" r:id="rId22"/>
          <w:footerReference w:type="first" r:id="rId23"/>
          <w:type w:val="continuous"/>
          <w:pgSz w:w="12240" w:h="15840" w:code="1"/>
          <w:pgMar w:top="1440" w:right="1440" w:bottom="1440" w:left="2160" w:header="720" w:footer="720" w:gutter="0"/>
          <w:cols w:space="708"/>
          <w:titlePg/>
          <w:docGrid w:linePitch="360"/>
        </w:sectPr>
      </w:pPr>
    </w:p>
    <w:p w:rsidR="006D50FE" w:rsidRDefault="00857059" w:rsidP="00197065">
      <w:pPr>
        <w:pStyle w:val="Heading3"/>
        <w:ind w:left="1418"/>
        <w:jc w:val="center"/>
      </w:pPr>
      <w:r>
        <w:lastRenderedPageBreak/>
        <w:t>Appendix A</w:t>
      </w:r>
      <w:r w:rsidR="007317BE">
        <w:t xml:space="preserve"> – Demographic data for participants represented in Figure 5</w:t>
      </w:r>
    </w:p>
    <w:tbl>
      <w:tblPr>
        <w:tblStyle w:val="LightShading"/>
        <w:tblW w:w="11970" w:type="dxa"/>
        <w:jc w:val="center"/>
        <w:tblLayout w:type="fixed"/>
        <w:tblLook w:val="06A0" w:firstRow="1" w:lastRow="0" w:firstColumn="1" w:lastColumn="0" w:noHBand="1" w:noVBand="1"/>
      </w:tblPr>
      <w:tblGrid>
        <w:gridCol w:w="899"/>
        <w:gridCol w:w="1099"/>
        <w:gridCol w:w="1510"/>
        <w:gridCol w:w="1171"/>
        <w:gridCol w:w="1621"/>
        <w:gridCol w:w="1620"/>
        <w:gridCol w:w="1530"/>
        <w:gridCol w:w="1276"/>
        <w:gridCol w:w="1244"/>
      </w:tblGrid>
      <w:tr w:rsidR="006D50FE" w:rsidRPr="00356E34" w:rsidTr="0091561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99" w:type="dxa"/>
            <w:shd w:val="clear" w:color="auto" w:fill="BFBFBF"/>
          </w:tcPr>
          <w:p w:rsidR="006D50FE" w:rsidRPr="00356E34" w:rsidRDefault="007317BE">
            <w:pPr>
              <w:pStyle w:val="a"/>
              <w:spacing w:after="0"/>
              <w:jc w:val="left"/>
              <w:rPr>
                <w:rFonts w:ascii="Times New Roman" w:hAnsiTheme="majorBidi" w:cstheme="majorBidi"/>
                <w:noProof/>
                <w:sz w:val="22"/>
                <w:rtl/>
              </w:rPr>
            </w:pPr>
            <w:r w:rsidRPr="00356E34">
              <w:rPr>
                <w:rFonts w:asciiTheme="majorBidi" w:hAnsiTheme="majorBidi" w:cstheme="majorBidi"/>
                <w:noProof/>
                <w:sz w:val="22"/>
              </w:rPr>
              <w:t>No.</w:t>
            </w:r>
          </w:p>
        </w:tc>
        <w:tc>
          <w:tcPr>
            <w:tcW w:w="1099" w:type="dxa"/>
            <w:shd w:val="clear" w:color="auto" w:fill="BFBFBF"/>
          </w:tcPr>
          <w:p w:rsidR="006D50FE" w:rsidRPr="00356E34" w:rsidRDefault="007317BE">
            <w:pPr>
              <w:pStyle w:val="a"/>
              <w:spacing w:after="0"/>
              <w:jc w:val="left"/>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Initial</w:t>
            </w:r>
          </w:p>
        </w:tc>
        <w:tc>
          <w:tcPr>
            <w:tcW w:w="1510" w:type="dxa"/>
            <w:shd w:val="clear" w:color="auto" w:fill="BFBFBF"/>
          </w:tcPr>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Specialist</w:t>
            </w:r>
          </w:p>
        </w:tc>
        <w:tc>
          <w:tcPr>
            <w:tcW w:w="1171" w:type="dxa"/>
            <w:shd w:val="clear" w:color="auto" w:fill="BFBFBF"/>
          </w:tcPr>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Gender</w:t>
            </w:r>
          </w:p>
        </w:tc>
        <w:tc>
          <w:tcPr>
            <w:tcW w:w="1621" w:type="dxa"/>
            <w:shd w:val="clear" w:color="auto" w:fill="BFBFBF"/>
          </w:tcPr>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Professionl</w:t>
            </w:r>
          </w:p>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experience</w:t>
            </w:r>
          </w:p>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(Years)</w:t>
            </w:r>
          </w:p>
        </w:tc>
        <w:tc>
          <w:tcPr>
            <w:tcW w:w="1620" w:type="dxa"/>
            <w:shd w:val="clear" w:color="auto" w:fill="BFBFBF"/>
          </w:tcPr>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br w:type="page"/>
              <w:t>Teaching</w:t>
            </w:r>
            <w:r w:rsidRPr="00356E34">
              <w:rPr>
                <w:rFonts w:ascii="Times New Roman" w:hAnsiTheme="majorBidi" w:cstheme="majorBidi"/>
                <w:noProof/>
                <w:sz w:val="22"/>
                <w:rtl/>
              </w:rPr>
              <w:t xml:space="preserve"> </w:t>
            </w:r>
            <w:r w:rsidRPr="00356E34">
              <w:rPr>
                <w:rFonts w:asciiTheme="majorBidi" w:hAnsiTheme="majorBidi" w:cstheme="majorBidi"/>
                <w:noProof/>
                <w:sz w:val="22"/>
              </w:rPr>
              <w:t>experience (Years)</w:t>
            </w:r>
          </w:p>
        </w:tc>
        <w:tc>
          <w:tcPr>
            <w:tcW w:w="1530" w:type="dxa"/>
            <w:shd w:val="clear" w:color="auto" w:fill="BFBFBF"/>
          </w:tcPr>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 xml:space="preserve">e-learing experience </w:t>
            </w:r>
          </w:p>
          <w:p w:rsidR="006D50FE" w:rsidRPr="00356E34" w:rsidRDefault="006D50F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p>
        </w:tc>
        <w:tc>
          <w:tcPr>
            <w:tcW w:w="1276" w:type="dxa"/>
            <w:shd w:val="clear" w:color="auto" w:fill="BFBFBF"/>
          </w:tcPr>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Willing to Teach</w:t>
            </w:r>
          </w:p>
        </w:tc>
        <w:tc>
          <w:tcPr>
            <w:tcW w:w="1244" w:type="dxa"/>
            <w:shd w:val="clear" w:color="auto" w:fill="BFBFBF"/>
          </w:tcPr>
          <w:p w:rsidR="006D50FE" w:rsidRPr="00356E34" w:rsidRDefault="007317BE">
            <w:pPr>
              <w:pStyle w:val="a"/>
              <w:spacing w:after="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Willing to learn</w:t>
            </w:r>
          </w:p>
        </w:tc>
      </w:tr>
      <w:tr w:rsidR="006D50FE" w:rsidRPr="00356E34" w:rsidTr="00915616">
        <w:trPr>
          <w:jc w:val="center"/>
        </w:trPr>
        <w:tc>
          <w:tcPr>
            <w:cnfStyle w:val="001000000000" w:firstRow="0" w:lastRow="0" w:firstColumn="1" w:lastColumn="0" w:oddVBand="0" w:evenVBand="0" w:oddHBand="0" w:evenHBand="0" w:firstRowFirstColumn="0" w:firstRowLastColumn="0" w:lastRowFirstColumn="0" w:lastRowLastColumn="0"/>
            <w:tcW w:w="899" w:type="dxa"/>
          </w:tcPr>
          <w:p w:rsidR="006D50FE" w:rsidRPr="00356E34" w:rsidRDefault="007317BE">
            <w:pPr>
              <w:pStyle w:val="a"/>
              <w:spacing w:after="0"/>
              <w:jc w:val="center"/>
              <w:rPr>
                <w:rFonts w:asciiTheme="majorBidi" w:hAnsiTheme="majorBidi" w:cstheme="majorBidi"/>
                <w:noProof/>
                <w:sz w:val="22"/>
              </w:rPr>
            </w:pPr>
            <w:r w:rsidRPr="00356E34">
              <w:rPr>
                <w:rFonts w:ascii="Times New Roman" w:hAnsiTheme="majorBidi" w:cstheme="majorBidi"/>
                <w:noProof/>
                <w:sz w:val="22"/>
                <w:rtl/>
              </w:rPr>
              <w:t>1</w:t>
            </w:r>
          </w:p>
        </w:tc>
        <w:tc>
          <w:tcPr>
            <w:tcW w:w="1099"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YG</w:t>
            </w:r>
          </w:p>
        </w:tc>
        <w:tc>
          <w:tcPr>
            <w:tcW w:w="151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Family</w:t>
            </w:r>
          </w:p>
        </w:tc>
        <w:tc>
          <w:tcPr>
            <w:tcW w:w="117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M</w:t>
            </w:r>
          </w:p>
        </w:tc>
        <w:tc>
          <w:tcPr>
            <w:tcW w:w="162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10</w:t>
            </w:r>
          </w:p>
        </w:tc>
        <w:tc>
          <w:tcPr>
            <w:tcW w:w="162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4</w:t>
            </w:r>
          </w:p>
        </w:tc>
        <w:tc>
          <w:tcPr>
            <w:tcW w:w="153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NO</w:t>
            </w:r>
          </w:p>
        </w:tc>
        <w:tc>
          <w:tcPr>
            <w:tcW w:w="1276"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NO</w:t>
            </w:r>
          </w:p>
        </w:tc>
        <w:tc>
          <w:tcPr>
            <w:tcW w:w="1244"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NO</w:t>
            </w:r>
          </w:p>
        </w:tc>
      </w:tr>
      <w:tr w:rsidR="006D50FE" w:rsidRPr="00356E34" w:rsidTr="00915616">
        <w:trPr>
          <w:jc w:val="center"/>
        </w:trPr>
        <w:tc>
          <w:tcPr>
            <w:cnfStyle w:val="001000000000" w:firstRow="0" w:lastRow="0" w:firstColumn="1" w:lastColumn="0" w:oddVBand="0" w:evenVBand="0" w:oddHBand="0" w:evenHBand="0" w:firstRowFirstColumn="0" w:firstRowLastColumn="0" w:lastRowFirstColumn="0" w:lastRowLastColumn="0"/>
            <w:tcW w:w="899" w:type="dxa"/>
          </w:tcPr>
          <w:p w:rsidR="006D50FE" w:rsidRPr="00356E34" w:rsidRDefault="007317BE">
            <w:pPr>
              <w:pStyle w:val="a"/>
              <w:spacing w:after="0"/>
              <w:jc w:val="center"/>
              <w:rPr>
                <w:rFonts w:asciiTheme="majorBidi" w:hAnsiTheme="majorBidi" w:cstheme="majorBidi"/>
                <w:noProof/>
                <w:sz w:val="22"/>
              </w:rPr>
            </w:pPr>
            <w:r w:rsidRPr="00356E34">
              <w:rPr>
                <w:rFonts w:ascii="Times New Roman" w:hAnsiTheme="majorBidi" w:cstheme="majorBidi"/>
                <w:noProof/>
                <w:sz w:val="22"/>
                <w:rtl/>
              </w:rPr>
              <w:t>2</w:t>
            </w:r>
          </w:p>
        </w:tc>
        <w:tc>
          <w:tcPr>
            <w:tcW w:w="1099"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KL</w:t>
            </w:r>
          </w:p>
        </w:tc>
        <w:tc>
          <w:tcPr>
            <w:tcW w:w="151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Pediatric</w:t>
            </w:r>
          </w:p>
        </w:tc>
        <w:tc>
          <w:tcPr>
            <w:tcW w:w="117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F</w:t>
            </w:r>
          </w:p>
        </w:tc>
        <w:tc>
          <w:tcPr>
            <w:tcW w:w="162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12</w:t>
            </w:r>
          </w:p>
        </w:tc>
        <w:tc>
          <w:tcPr>
            <w:tcW w:w="162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6</w:t>
            </w:r>
          </w:p>
        </w:tc>
        <w:tc>
          <w:tcPr>
            <w:tcW w:w="153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76"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44"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r>
      <w:tr w:rsidR="006D50FE" w:rsidRPr="00356E34" w:rsidTr="00915616">
        <w:trPr>
          <w:jc w:val="center"/>
        </w:trPr>
        <w:tc>
          <w:tcPr>
            <w:cnfStyle w:val="001000000000" w:firstRow="0" w:lastRow="0" w:firstColumn="1" w:lastColumn="0" w:oddVBand="0" w:evenVBand="0" w:oddHBand="0" w:evenHBand="0" w:firstRowFirstColumn="0" w:firstRowLastColumn="0" w:lastRowFirstColumn="0" w:lastRowLastColumn="0"/>
            <w:tcW w:w="899" w:type="dxa"/>
          </w:tcPr>
          <w:p w:rsidR="006D50FE" w:rsidRPr="00356E34" w:rsidRDefault="007317BE">
            <w:pPr>
              <w:pStyle w:val="a"/>
              <w:spacing w:after="0"/>
              <w:jc w:val="center"/>
              <w:rPr>
                <w:rFonts w:asciiTheme="majorBidi" w:hAnsiTheme="majorBidi" w:cstheme="majorBidi"/>
                <w:noProof/>
                <w:sz w:val="22"/>
              </w:rPr>
            </w:pPr>
            <w:r w:rsidRPr="00356E34">
              <w:rPr>
                <w:rFonts w:ascii="Times New Roman" w:hAnsiTheme="majorBidi" w:cstheme="majorBidi"/>
                <w:noProof/>
                <w:sz w:val="22"/>
                <w:rtl/>
              </w:rPr>
              <w:t>3</w:t>
            </w:r>
          </w:p>
        </w:tc>
        <w:tc>
          <w:tcPr>
            <w:tcW w:w="1099"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IZ</w:t>
            </w:r>
          </w:p>
        </w:tc>
        <w:tc>
          <w:tcPr>
            <w:tcW w:w="151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IM*</w:t>
            </w:r>
          </w:p>
        </w:tc>
        <w:tc>
          <w:tcPr>
            <w:tcW w:w="117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F</w:t>
            </w:r>
          </w:p>
        </w:tc>
        <w:tc>
          <w:tcPr>
            <w:tcW w:w="162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13</w:t>
            </w:r>
          </w:p>
        </w:tc>
        <w:tc>
          <w:tcPr>
            <w:tcW w:w="162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8</w:t>
            </w:r>
          </w:p>
        </w:tc>
        <w:tc>
          <w:tcPr>
            <w:tcW w:w="153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76"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44"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r>
      <w:tr w:rsidR="006D50FE" w:rsidRPr="00356E34" w:rsidTr="00915616">
        <w:trPr>
          <w:jc w:val="center"/>
        </w:trPr>
        <w:tc>
          <w:tcPr>
            <w:cnfStyle w:val="001000000000" w:firstRow="0" w:lastRow="0" w:firstColumn="1" w:lastColumn="0" w:oddVBand="0" w:evenVBand="0" w:oddHBand="0" w:evenHBand="0" w:firstRowFirstColumn="0" w:firstRowLastColumn="0" w:lastRowFirstColumn="0" w:lastRowLastColumn="0"/>
            <w:tcW w:w="899" w:type="dxa"/>
          </w:tcPr>
          <w:p w:rsidR="006D50FE" w:rsidRPr="00356E34" w:rsidRDefault="007317BE">
            <w:pPr>
              <w:pStyle w:val="a"/>
              <w:spacing w:after="0"/>
              <w:jc w:val="center"/>
              <w:rPr>
                <w:rFonts w:asciiTheme="majorBidi" w:hAnsiTheme="majorBidi" w:cstheme="majorBidi"/>
                <w:noProof/>
                <w:sz w:val="22"/>
              </w:rPr>
            </w:pPr>
            <w:r w:rsidRPr="00356E34">
              <w:rPr>
                <w:rFonts w:ascii="Times New Roman" w:hAnsiTheme="majorBidi" w:cstheme="majorBidi"/>
                <w:noProof/>
                <w:sz w:val="22"/>
                <w:rtl/>
              </w:rPr>
              <w:t>4</w:t>
            </w:r>
          </w:p>
        </w:tc>
        <w:tc>
          <w:tcPr>
            <w:tcW w:w="1099"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AR</w:t>
            </w:r>
          </w:p>
        </w:tc>
        <w:tc>
          <w:tcPr>
            <w:tcW w:w="151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IM</w:t>
            </w:r>
          </w:p>
        </w:tc>
        <w:tc>
          <w:tcPr>
            <w:tcW w:w="117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F</w:t>
            </w:r>
          </w:p>
        </w:tc>
        <w:tc>
          <w:tcPr>
            <w:tcW w:w="162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15</w:t>
            </w:r>
          </w:p>
        </w:tc>
        <w:tc>
          <w:tcPr>
            <w:tcW w:w="162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10</w:t>
            </w:r>
          </w:p>
        </w:tc>
        <w:tc>
          <w:tcPr>
            <w:tcW w:w="153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76"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44"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r>
      <w:tr w:rsidR="006D50FE" w:rsidRPr="00356E34" w:rsidTr="00915616">
        <w:trPr>
          <w:jc w:val="center"/>
        </w:trPr>
        <w:tc>
          <w:tcPr>
            <w:cnfStyle w:val="001000000000" w:firstRow="0" w:lastRow="0" w:firstColumn="1" w:lastColumn="0" w:oddVBand="0" w:evenVBand="0" w:oddHBand="0" w:evenHBand="0" w:firstRowFirstColumn="0" w:firstRowLastColumn="0" w:lastRowFirstColumn="0" w:lastRowLastColumn="0"/>
            <w:tcW w:w="899" w:type="dxa"/>
          </w:tcPr>
          <w:p w:rsidR="006D50FE" w:rsidRPr="00356E34" w:rsidRDefault="007317BE">
            <w:pPr>
              <w:pStyle w:val="a"/>
              <w:spacing w:after="0"/>
              <w:jc w:val="center"/>
              <w:rPr>
                <w:rFonts w:asciiTheme="majorBidi" w:hAnsiTheme="majorBidi" w:cstheme="majorBidi"/>
                <w:noProof/>
                <w:sz w:val="22"/>
              </w:rPr>
            </w:pPr>
            <w:r w:rsidRPr="00356E34">
              <w:rPr>
                <w:rFonts w:ascii="Times New Roman" w:hAnsiTheme="majorBidi" w:cstheme="majorBidi"/>
                <w:noProof/>
                <w:sz w:val="22"/>
                <w:rtl/>
              </w:rPr>
              <w:t>5</w:t>
            </w:r>
          </w:p>
        </w:tc>
        <w:tc>
          <w:tcPr>
            <w:tcW w:w="1099"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AK</w:t>
            </w:r>
          </w:p>
        </w:tc>
        <w:tc>
          <w:tcPr>
            <w:tcW w:w="151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E. N. T.**</w:t>
            </w:r>
          </w:p>
        </w:tc>
        <w:tc>
          <w:tcPr>
            <w:tcW w:w="117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M</w:t>
            </w:r>
          </w:p>
        </w:tc>
        <w:tc>
          <w:tcPr>
            <w:tcW w:w="162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13</w:t>
            </w:r>
          </w:p>
        </w:tc>
        <w:tc>
          <w:tcPr>
            <w:tcW w:w="162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imes New Roman" w:hAnsiTheme="majorBidi" w:cstheme="majorBidi"/>
                <w:noProof/>
                <w:sz w:val="22"/>
                <w:rtl/>
              </w:rPr>
              <w:t>8</w:t>
            </w:r>
          </w:p>
        </w:tc>
        <w:tc>
          <w:tcPr>
            <w:tcW w:w="153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76"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YES</w:t>
            </w:r>
          </w:p>
        </w:tc>
        <w:tc>
          <w:tcPr>
            <w:tcW w:w="1244"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noProof/>
                <w:sz w:val="22"/>
              </w:rPr>
            </w:pPr>
            <w:r w:rsidRPr="00356E34">
              <w:rPr>
                <w:rFonts w:asciiTheme="majorBidi" w:hAnsiTheme="majorBidi" w:cstheme="majorBidi"/>
                <w:noProof/>
                <w:sz w:val="22"/>
              </w:rPr>
              <w:t>YES</w:t>
            </w:r>
          </w:p>
        </w:tc>
      </w:tr>
      <w:tr w:rsidR="006D50FE" w:rsidRPr="00356E34" w:rsidTr="00915616">
        <w:trPr>
          <w:jc w:val="center"/>
        </w:trPr>
        <w:tc>
          <w:tcPr>
            <w:cnfStyle w:val="001000000000" w:firstRow="0" w:lastRow="0" w:firstColumn="1" w:lastColumn="0" w:oddVBand="0" w:evenVBand="0" w:oddHBand="0" w:evenHBand="0" w:firstRowFirstColumn="0" w:firstRowLastColumn="0" w:lastRowFirstColumn="0" w:lastRowLastColumn="0"/>
            <w:tcW w:w="899" w:type="dxa"/>
          </w:tcPr>
          <w:p w:rsidR="006D50FE" w:rsidRPr="00356E34" w:rsidRDefault="007317BE">
            <w:pPr>
              <w:pStyle w:val="a"/>
              <w:spacing w:after="0"/>
              <w:jc w:val="center"/>
              <w:rPr>
                <w:rFonts w:ascii="Times New Roman" w:hAnsiTheme="majorBidi" w:cstheme="majorBidi"/>
                <w:noProof/>
                <w:sz w:val="22"/>
                <w:rtl/>
              </w:rPr>
            </w:pPr>
            <w:r w:rsidRPr="00356E34">
              <w:rPr>
                <w:rFonts w:asciiTheme="majorBidi" w:hAnsiTheme="majorBidi" w:cstheme="majorBidi"/>
                <w:noProof/>
                <w:sz w:val="22"/>
              </w:rPr>
              <w:t>6</w:t>
            </w:r>
          </w:p>
        </w:tc>
        <w:tc>
          <w:tcPr>
            <w:tcW w:w="1099"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heme="majorBidi" w:cstheme="majorBidi"/>
                <w:noProof/>
                <w:sz w:val="22"/>
                <w:rtl/>
              </w:rPr>
            </w:pPr>
            <w:r w:rsidRPr="00356E34">
              <w:rPr>
                <w:rFonts w:asciiTheme="majorBidi" w:hAnsiTheme="majorBidi" w:cstheme="majorBidi"/>
                <w:noProof/>
                <w:sz w:val="22"/>
              </w:rPr>
              <w:t>GW</w:t>
            </w:r>
          </w:p>
        </w:tc>
        <w:tc>
          <w:tcPr>
            <w:tcW w:w="151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heme="majorBidi" w:cstheme="majorBidi"/>
                <w:noProof/>
                <w:sz w:val="22"/>
                <w:rtl/>
              </w:rPr>
            </w:pPr>
            <w:r w:rsidRPr="00356E34">
              <w:rPr>
                <w:rFonts w:asciiTheme="majorBidi" w:hAnsiTheme="majorBidi" w:cstheme="majorBidi"/>
                <w:noProof/>
                <w:sz w:val="22"/>
              </w:rPr>
              <w:t>IM</w:t>
            </w:r>
          </w:p>
        </w:tc>
        <w:tc>
          <w:tcPr>
            <w:tcW w:w="117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heme="majorBidi" w:cstheme="majorBidi"/>
                <w:noProof/>
                <w:sz w:val="22"/>
                <w:rtl/>
              </w:rPr>
            </w:pPr>
            <w:r w:rsidRPr="00356E34">
              <w:rPr>
                <w:rFonts w:asciiTheme="majorBidi" w:hAnsiTheme="majorBidi" w:cstheme="majorBidi"/>
                <w:noProof/>
                <w:sz w:val="22"/>
              </w:rPr>
              <w:t>M</w:t>
            </w:r>
          </w:p>
        </w:tc>
        <w:tc>
          <w:tcPr>
            <w:tcW w:w="1621"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heme="majorBidi" w:cstheme="majorBidi"/>
                <w:noProof/>
                <w:sz w:val="22"/>
                <w:rtl/>
              </w:rPr>
            </w:pPr>
            <w:r w:rsidRPr="00356E34">
              <w:rPr>
                <w:rFonts w:ascii="Times New Roman" w:hAnsiTheme="majorBidi" w:cstheme="majorBidi"/>
                <w:noProof/>
                <w:sz w:val="22"/>
                <w:rtl/>
              </w:rPr>
              <w:t>24</w:t>
            </w:r>
          </w:p>
        </w:tc>
        <w:tc>
          <w:tcPr>
            <w:tcW w:w="162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heme="majorBidi" w:cstheme="majorBidi"/>
                <w:noProof/>
                <w:sz w:val="22"/>
                <w:rtl/>
              </w:rPr>
            </w:pPr>
            <w:r w:rsidRPr="00356E34">
              <w:rPr>
                <w:rFonts w:asciiTheme="majorBidi" w:hAnsiTheme="majorBidi" w:cstheme="majorBidi"/>
                <w:noProof/>
                <w:sz w:val="22"/>
              </w:rPr>
              <w:t>&gt;</w:t>
            </w:r>
            <w:r w:rsidRPr="00356E34">
              <w:rPr>
                <w:rFonts w:ascii="Times New Roman" w:hAnsiTheme="majorBidi" w:cstheme="majorBidi"/>
                <w:noProof/>
                <w:sz w:val="22"/>
                <w:rtl/>
              </w:rPr>
              <w:t>15</w:t>
            </w:r>
          </w:p>
        </w:tc>
        <w:tc>
          <w:tcPr>
            <w:tcW w:w="1530"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2"/>
              </w:rPr>
            </w:pPr>
            <w:r w:rsidRPr="00356E34">
              <w:rPr>
                <w:rFonts w:asciiTheme="majorBidi" w:hAnsiTheme="majorBidi" w:cstheme="majorBidi"/>
                <w:noProof/>
                <w:sz w:val="22"/>
              </w:rPr>
              <w:t>NO</w:t>
            </w:r>
          </w:p>
        </w:tc>
        <w:tc>
          <w:tcPr>
            <w:tcW w:w="1276"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heme="majorBidi" w:cstheme="majorBidi"/>
                <w:noProof/>
                <w:sz w:val="22"/>
                <w:rtl/>
              </w:rPr>
            </w:pPr>
            <w:r w:rsidRPr="00356E34">
              <w:rPr>
                <w:rFonts w:asciiTheme="majorBidi" w:hAnsiTheme="majorBidi" w:cstheme="majorBidi"/>
                <w:noProof/>
                <w:sz w:val="22"/>
              </w:rPr>
              <w:t>YES</w:t>
            </w:r>
          </w:p>
        </w:tc>
        <w:tc>
          <w:tcPr>
            <w:tcW w:w="1244" w:type="dxa"/>
          </w:tcPr>
          <w:p w:rsidR="006D50FE" w:rsidRPr="00356E34" w:rsidRDefault="007317BE">
            <w:pPr>
              <w:pStyle w:val="a"/>
              <w:spacing w:after="0"/>
              <w:jc w:val="center"/>
              <w:cnfStyle w:val="000000000000" w:firstRow="0" w:lastRow="0" w:firstColumn="0" w:lastColumn="0" w:oddVBand="0" w:evenVBand="0" w:oddHBand="0" w:evenHBand="0" w:firstRowFirstColumn="0" w:firstRowLastColumn="0" w:lastRowFirstColumn="0" w:lastRowLastColumn="0"/>
              <w:rPr>
                <w:rFonts w:ascii="Times New Roman" w:hAnsiTheme="majorBidi" w:cstheme="majorBidi"/>
                <w:noProof/>
                <w:sz w:val="22"/>
                <w:rtl/>
              </w:rPr>
            </w:pPr>
            <w:r w:rsidRPr="00356E34">
              <w:rPr>
                <w:rFonts w:asciiTheme="majorBidi" w:hAnsiTheme="majorBidi" w:cstheme="majorBidi"/>
                <w:noProof/>
                <w:sz w:val="22"/>
              </w:rPr>
              <w:t>YES</w:t>
            </w:r>
          </w:p>
        </w:tc>
      </w:tr>
    </w:tbl>
    <w:p w:rsidR="006D50FE" w:rsidRDefault="007317BE" w:rsidP="00B01B27">
      <w:pPr>
        <w:spacing w:before="60" w:after="0"/>
        <w:ind w:left="806"/>
        <w:rPr>
          <w:sz w:val="20"/>
          <w:szCs w:val="20"/>
        </w:rPr>
      </w:pPr>
      <w:r>
        <w:rPr>
          <w:sz w:val="20"/>
          <w:szCs w:val="20"/>
        </w:rPr>
        <w:t xml:space="preserve">            *IM – Internal Medicine   ;            ** </w:t>
      </w:r>
      <w:r>
        <w:rPr>
          <w:rStyle w:val="Emphasis"/>
          <w:rFonts w:eastAsia="SimSun"/>
          <w:i w:val="0"/>
          <w:iCs w:val="0"/>
          <w:color w:val="444444"/>
          <w:sz w:val="20"/>
          <w:szCs w:val="20"/>
          <w:shd w:val="clear" w:color="auto" w:fill="FFFFFF"/>
        </w:rPr>
        <w:t>E.N.T.</w:t>
      </w:r>
      <w:r>
        <w:rPr>
          <w:rStyle w:val="apple-converted-space"/>
          <w:color w:val="444444"/>
          <w:sz w:val="20"/>
          <w:szCs w:val="20"/>
          <w:shd w:val="clear" w:color="auto" w:fill="FFFFFF"/>
        </w:rPr>
        <w:t> </w:t>
      </w:r>
      <w:r>
        <w:rPr>
          <w:color w:val="444444"/>
          <w:sz w:val="20"/>
          <w:szCs w:val="20"/>
          <w:shd w:val="clear" w:color="auto" w:fill="FFFFFF"/>
        </w:rPr>
        <w:t xml:space="preserve">= </w:t>
      </w:r>
      <w:r>
        <w:rPr>
          <w:rStyle w:val="Emphasis"/>
          <w:rFonts w:eastAsia="SimSun"/>
          <w:i w:val="0"/>
          <w:iCs w:val="0"/>
          <w:color w:val="444444"/>
          <w:sz w:val="20"/>
          <w:szCs w:val="20"/>
          <w:shd w:val="clear" w:color="auto" w:fill="FFFFFF"/>
        </w:rPr>
        <w:t>Ear, nose, and throat</w:t>
      </w:r>
      <w:r>
        <w:rPr>
          <w:sz w:val="20"/>
          <w:szCs w:val="20"/>
        </w:rPr>
        <w:t xml:space="preserve">  </w:t>
      </w:r>
    </w:p>
    <w:p w:rsidR="00915616" w:rsidRDefault="00915616" w:rsidP="00915616"/>
    <w:p w:rsidR="00915616" w:rsidRDefault="00915616" w:rsidP="00915616">
      <w:pPr>
        <w:pStyle w:val="Heading3"/>
        <w:jc w:val="center"/>
      </w:pPr>
      <w:r>
        <w:t xml:space="preserve">Appendix B – Examples of reflection statements provided by </w:t>
      </w:r>
      <w:proofErr w:type="spellStart"/>
      <w:r>
        <w:t>CoI</w:t>
      </w:r>
      <w:proofErr w:type="spellEnd"/>
      <w:r>
        <w:t xml:space="preserve"> facilitators</w:t>
      </w:r>
    </w:p>
    <w:tbl>
      <w:tblPr>
        <w:tblStyle w:val="TableGrid1"/>
        <w:tblW w:w="0" w:type="auto"/>
        <w:jc w:val="center"/>
        <w:tblLook w:val="0620" w:firstRow="1" w:lastRow="0" w:firstColumn="0" w:lastColumn="0" w:noHBand="1" w:noVBand="1"/>
      </w:tblPr>
      <w:tblGrid>
        <w:gridCol w:w="8856"/>
      </w:tblGrid>
      <w:tr w:rsidR="00915616" w:rsidRPr="003950AB" w:rsidTr="00915616">
        <w:trPr>
          <w:jc w:val="center"/>
        </w:trPr>
        <w:tc>
          <w:tcPr>
            <w:tcW w:w="8856" w:type="dxa"/>
          </w:tcPr>
          <w:p w:rsidR="00915616" w:rsidRPr="003950AB" w:rsidRDefault="00915616" w:rsidP="00787C74">
            <w:pPr>
              <w:jc w:val="left"/>
              <w:rPr>
                <w:rFonts w:asciiTheme="majorBidi" w:hAnsiTheme="majorBidi" w:cstheme="majorBidi"/>
                <w:b/>
                <w:bCs/>
                <w:i/>
                <w:iCs/>
                <w:szCs w:val="22"/>
              </w:rPr>
            </w:pPr>
            <w:r>
              <w:rPr>
                <w:rFonts w:asciiTheme="majorBidi" w:hAnsiTheme="majorBidi" w:cstheme="majorBidi"/>
                <w:i/>
                <w:iCs/>
                <w:szCs w:val="22"/>
              </w:rPr>
              <w:t>“</w:t>
            </w:r>
            <w:r w:rsidRPr="003950AB">
              <w:rPr>
                <w:rFonts w:asciiTheme="majorBidi" w:hAnsiTheme="majorBidi" w:cstheme="majorBidi"/>
                <w:i/>
                <w:iCs/>
                <w:szCs w:val="22"/>
              </w:rPr>
              <w:t>It was my first experience as a forum facilitator; Facilitating an online academic discussion group is a challenge</w:t>
            </w:r>
            <w:r>
              <w:rPr>
                <w:rFonts w:asciiTheme="majorBidi" w:hAnsiTheme="majorBidi" w:cstheme="majorBidi"/>
                <w:i/>
                <w:iCs/>
                <w:szCs w:val="22"/>
              </w:rPr>
              <w:t>”</w:t>
            </w:r>
          </w:p>
          <w:p w:rsidR="00915616" w:rsidRPr="003950AB" w:rsidRDefault="00915616" w:rsidP="00787C74">
            <w:pPr>
              <w:rPr>
                <w:rFonts w:asciiTheme="majorBidi" w:hAnsiTheme="majorBidi" w:cstheme="majorBidi"/>
                <w:b/>
                <w:bCs/>
                <w:i/>
                <w:iCs/>
                <w:szCs w:val="22"/>
              </w:rPr>
            </w:pPr>
            <w:r>
              <w:rPr>
                <w:rFonts w:asciiTheme="majorBidi" w:hAnsiTheme="majorBidi" w:cstheme="majorBidi"/>
                <w:i/>
                <w:iCs/>
                <w:szCs w:val="22"/>
              </w:rPr>
              <w:t>“</w:t>
            </w:r>
            <w:r w:rsidRPr="003950AB">
              <w:rPr>
                <w:rFonts w:asciiTheme="majorBidi" w:hAnsiTheme="majorBidi" w:cstheme="majorBidi"/>
                <w:i/>
                <w:iCs/>
                <w:szCs w:val="22"/>
              </w:rPr>
              <w:t>I did not like the asynchronous nature of the discourse, as the replies were not in real time</w:t>
            </w:r>
            <w:r>
              <w:rPr>
                <w:rFonts w:asciiTheme="majorBidi" w:hAnsiTheme="majorBidi" w:cstheme="majorBidi"/>
                <w:i/>
                <w:iCs/>
                <w:szCs w:val="22"/>
              </w:rPr>
              <w:t>”</w:t>
            </w:r>
            <w:r w:rsidRPr="003950AB">
              <w:rPr>
                <w:rFonts w:asciiTheme="majorBidi" w:hAnsiTheme="majorBidi" w:cstheme="majorBidi"/>
                <w:i/>
                <w:iCs/>
                <w:szCs w:val="22"/>
              </w:rPr>
              <w:t xml:space="preserve"> (AR_FF2011)</w:t>
            </w:r>
          </w:p>
        </w:tc>
      </w:tr>
      <w:tr w:rsidR="00915616" w:rsidRPr="003950AB" w:rsidTr="00915616">
        <w:trPr>
          <w:jc w:val="center"/>
        </w:trPr>
        <w:tc>
          <w:tcPr>
            <w:tcW w:w="8856" w:type="dxa"/>
          </w:tcPr>
          <w:p w:rsidR="00915616" w:rsidRPr="003950AB" w:rsidRDefault="00915616" w:rsidP="00787C74">
            <w:pPr>
              <w:rPr>
                <w:rFonts w:asciiTheme="majorBidi" w:hAnsiTheme="majorBidi" w:cstheme="majorBidi"/>
                <w:i/>
                <w:iCs/>
                <w:szCs w:val="22"/>
              </w:rPr>
            </w:pPr>
            <w:r>
              <w:rPr>
                <w:rFonts w:asciiTheme="majorBidi" w:hAnsiTheme="majorBidi" w:cstheme="majorBidi"/>
                <w:i/>
                <w:iCs/>
                <w:szCs w:val="22"/>
              </w:rPr>
              <w:t>“</w:t>
            </w:r>
            <w:r w:rsidRPr="003950AB">
              <w:rPr>
                <w:rFonts w:asciiTheme="majorBidi" w:hAnsiTheme="majorBidi" w:cstheme="majorBidi"/>
                <w:i/>
                <w:iCs/>
                <w:szCs w:val="22"/>
              </w:rPr>
              <w:t>It was very important for me to create an interesting discourse…</w:t>
            </w:r>
            <w:r>
              <w:rPr>
                <w:rFonts w:asciiTheme="majorBidi" w:hAnsiTheme="majorBidi" w:cstheme="majorBidi"/>
                <w:i/>
                <w:iCs/>
                <w:szCs w:val="22"/>
              </w:rPr>
              <w:t>”</w:t>
            </w:r>
          </w:p>
          <w:p w:rsidR="00915616" w:rsidRPr="003950AB" w:rsidRDefault="00915616" w:rsidP="00787C74">
            <w:pPr>
              <w:rPr>
                <w:rFonts w:asciiTheme="majorBidi" w:hAnsiTheme="majorBidi" w:cstheme="majorBidi"/>
                <w:i/>
                <w:iCs/>
                <w:szCs w:val="22"/>
              </w:rPr>
            </w:pPr>
            <w:r>
              <w:rPr>
                <w:rFonts w:asciiTheme="majorBidi" w:hAnsiTheme="majorBidi" w:cstheme="majorBidi"/>
                <w:i/>
                <w:iCs/>
                <w:szCs w:val="22"/>
              </w:rPr>
              <w:t>“</w:t>
            </w:r>
            <w:r w:rsidRPr="003950AB">
              <w:rPr>
                <w:rFonts w:asciiTheme="majorBidi" w:hAnsiTheme="majorBidi" w:cstheme="majorBidi"/>
                <w:i/>
                <w:iCs/>
                <w:szCs w:val="22"/>
              </w:rPr>
              <w:t>By asking the right questions you can lead the discourse according to your purposes.</w:t>
            </w:r>
            <w:r>
              <w:rPr>
                <w:rFonts w:asciiTheme="majorBidi" w:hAnsiTheme="majorBidi" w:cstheme="majorBidi"/>
                <w:i/>
                <w:iCs/>
                <w:szCs w:val="22"/>
              </w:rPr>
              <w:t>”</w:t>
            </w:r>
          </w:p>
          <w:p w:rsidR="00915616" w:rsidRPr="003950AB" w:rsidRDefault="00915616" w:rsidP="00787C74">
            <w:pPr>
              <w:rPr>
                <w:rFonts w:asciiTheme="majorBidi" w:hAnsiTheme="majorBidi" w:cstheme="majorBidi"/>
                <w:b/>
                <w:bCs/>
                <w:i/>
                <w:iCs/>
                <w:szCs w:val="22"/>
              </w:rPr>
            </w:pPr>
            <w:r>
              <w:rPr>
                <w:rFonts w:asciiTheme="majorBidi" w:hAnsiTheme="majorBidi" w:cstheme="majorBidi"/>
                <w:i/>
                <w:iCs/>
                <w:szCs w:val="22"/>
              </w:rPr>
              <w:t>“</w:t>
            </w:r>
            <w:r w:rsidRPr="003950AB">
              <w:rPr>
                <w:rFonts w:asciiTheme="majorBidi" w:hAnsiTheme="majorBidi" w:cstheme="majorBidi"/>
                <w:i/>
                <w:iCs/>
                <w:szCs w:val="22"/>
              </w:rPr>
              <w:t>In order to elevate the level of the thinking in the discourse, participation should obliged to pa</w:t>
            </w:r>
            <w:r w:rsidRPr="003950AB">
              <w:rPr>
                <w:rFonts w:asciiTheme="majorBidi" w:hAnsiTheme="majorBidi" w:cstheme="majorBidi"/>
                <w:i/>
                <w:iCs/>
                <w:szCs w:val="22"/>
              </w:rPr>
              <w:t>r</w:t>
            </w:r>
            <w:r w:rsidRPr="003950AB">
              <w:rPr>
                <w:rFonts w:asciiTheme="majorBidi" w:hAnsiTheme="majorBidi" w:cstheme="majorBidi"/>
                <w:i/>
                <w:iCs/>
                <w:szCs w:val="22"/>
              </w:rPr>
              <w:t>ticipate</w:t>
            </w:r>
            <w:r>
              <w:rPr>
                <w:rFonts w:asciiTheme="majorBidi" w:hAnsiTheme="majorBidi" w:cstheme="majorBidi"/>
                <w:i/>
                <w:iCs/>
                <w:szCs w:val="22"/>
              </w:rPr>
              <w:t>”</w:t>
            </w:r>
            <w:r w:rsidRPr="003950AB">
              <w:rPr>
                <w:rFonts w:asciiTheme="majorBidi" w:hAnsiTheme="majorBidi" w:cstheme="majorBidi"/>
                <w:i/>
                <w:iCs/>
                <w:szCs w:val="22"/>
              </w:rPr>
              <w:t xml:space="preserve"> (EZ_LF2012)</w:t>
            </w:r>
          </w:p>
        </w:tc>
      </w:tr>
      <w:tr w:rsidR="00915616" w:rsidRPr="003950AB" w:rsidTr="00915616">
        <w:trPr>
          <w:jc w:val="center"/>
        </w:trPr>
        <w:tc>
          <w:tcPr>
            <w:tcW w:w="8856" w:type="dxa"/>
          </w:tcPr>
          <w:p w:rsidR="00915616" w:rsidRPr="003950AB" w:rsidRDefault="00915616" w:rsidP="00787C74">
            <w:pPr>
              <w:rPr>
                <w:rFonts w:asciiTheme="majorBidi" w:hAnsiTheme="majorBidi" w:cstheme="majorBidi"/>
                <w:b/>
                <w:bCs/>
                <w:i/>
                <w:iCs/>
                <w:szCs w:val="22"/>
              </w:rPr>
            </w:pPr>
            <w:r>
              <w:rPr>
                <w:rFonts w:asciiTheme="majorBidi" w:hAnsiTheme="majorBidi" w:cstheme="majorBidi"/>
                <w:i/>
                <w:iCs/>
                <w:szCs w:val="22"/>
              </w:rPr>
              <w:t>“</w:t>
            </w:r>
            <w:r w:rsidRPr="003950AB">
              <w:rPr>
                <w:rFonts w:asciiTheme="majorBidi" w:hAnsiTheme="majorBidi" w:cstheme="majorBidi"/>
                <w:i/>
                <w:iCs/>
                <w:szCs w:val="22"/>
              </w:rPr>
              <w:t>It seems to me that the motivation to participate is low….</w:t>
            </w:r>
            <w:r>
              <w:rPr>
                <w:rFonts w:asciiTheme="majorBidi" w:hAnsiTheme="majorBidi" w:cstheme="majorBidi"/>
                <w:i/>
                <w:iCs/>
                <w:szCs w:val="22"/>
              </w:rPr>
              <w:t>”</w:t>
            </w:r>
          </w:p>
          <w:p w:rsidR="00915616" w:rsidRPr="003950AB" w:rsidRDefault="00915616" w:rsidP="00787C74">
            <w:pPr>
              <w:rPr>
                <w:rFonts w:asciiTheme="majorBidi" w:hAnsiTheme="majorBidi" w:cstheme="majorBidi"/>
                <w:b/>
                <w:bCs/>
                <w:i/>
                <w:iCs/>
                <w:szCs w:val="22"/>
              </w:rPr>
            </w:pPr>
            <w:r>
              <w:rPr>
                <w:rFonts w:asciiTheme="majorBidi" w:hAnsiTheme="majorBidi" w:cstheme="majorBidi"/>
                <w:i/>
                <w:iCs/>
                <w:szCs w:val="22"/>
              </w:rPr>
              <w:t>“</w:t>
            </w:r>
            <w:r w:rsidRPr="003950AB">
              <w:rPr>
                <w:rFonts w:asciiTheme="majorBidi" w:hAnsiTheme="majorBidi" w:cstheme="majorBidi"/>
                <w:i/>
                <w:iCs/>
                <w:szCs w:val="22"/>
              </w:rPr>
              <w:t>It was a challenge for me to facilitate the forum.  Even more than I have imagine</w:t>
            </w:r>
            <w:r>
              <w:rPr>
                <w:rFonts w:asciiTheme="majorBidi" w:hAnsiTheme="majorBidi" w:cstheme="majorBidi"/>
                <w:i/>
                <w:iCs/>
                <w:szCs w:val="22"/>
              </w:rPr>
              <w:t>”</w:t>
            </w:r>
            <w:r w:rsidRPr="003950AB">
              <w:rPr>
                <w:rFonts w:asciiTheme="majorBidi" w:hAnsiTheme="majorBidi" w:cstheme="majorBidi"/>
                <w:i/>
                <w:iCs/>
                <w:szCs w:val="22"/>
              </w:rPr>
              <w:t xml:space="preserve"> (GS_LF2012)</w:t>
            </w:r>
          </w:p>
        </w:tc>
      </w:tr>
      <w:tr w:rsidR="00915616" w:rsidRPr="003950AB" w:rsidTr="00915616">
        <w:trPr>
          <w:jc w:val="center"/>
        </w:trPr>
        <w:tc>
          <w:tcPr>
            <w:tcW w:w="8856" w:type="dxa"/>
          </w:tcPr>
          <w:p w:rsidR="00915616" w:rsidRPr="003950AB" w:rsidRDefault="00915616" w:rsidP="00787C74">
            <w:pPr>
              <w:rPr>
                <w:rFonts w:asciiTheme="majorBidi" w:hAnsiTheme="majorBidi" w:cstheme="majorBidi"/>
                <w:b/>
                <w:bCs/>
                <w:i/>
                <w:iCs/>
                <w:szCs w:val="22"/>
              </w:rPr>
            </w:pPr>
            <w:r>
              <w:rPr>
                <w:rFonts w:asciiTheme="majorBidi" w:hAnsiTheme="majorBidi" w:cstheme="majorBidi"/>
                <w:i/>
                <w:iCs/>
                <w:szCs w:val="22"/>
              </w:rPr>
              <w:t>“</w:t>
            </w:r>
            <w:r w:rsidRPr="003950AB">
              <w:rPr>
                <w:rFonts w:asciiTheme="majorBidi" w:hAnsiTheme="majorBidi" w:cstheme="majorBidi"/>
                <w:i/>
                <w:iCs/>
                <w:szCs w:val="22"/>
              </w:rPr>
              <w:t xml:space="preserve">It was a challenge to elevate the level of thinking and learning in the experience... I need </w:t>
            </w:r>
            <w:r>
              <w:rPr>
                <w:rFonts w:asciiTheme="majorBidi" w:hAnsiTheme="majorBidi" w:cstheme="majorBidi"/>
                <w:i/>
                <w:iCs/>
                <w:szCs w:val="22"/>
              </w:rPr>
              <w:t>“</w:t>
            </w:r>
            <w:r w:rsidRPr="003950AB">
              <w:rPr>
                <w:rFonts w:asciiTheme="majorBidi" w:hAnsiTheme="majorBidi" w:cstheme="majorBidi"/>
                <w:i/>
                <w:iCs/>
                <w:szCs w:val="22"/>
              </w:rPr>
              <w:t>gui</w:t>
            </w:r>
            <w:r w:rsidRPr="003950AB">
              <w:rPr>
                <w:rFonts w:asciiTheme="majorBidi" w:hAnsiTheme="majorBidi" w:cstheme="majorBidi"/>
                <w:i/>
                <w:iCs/>
                <w:szCs w:val="22"/>
              </w:rPr>
              <w:t>d</w:t>
            </w:r>
            <w:r w:rsidRPr="003950AB">
              <w:rPr>
                <w:rFonts w:asciiTheme="majorBidi" w:hAnsiTheme="majorBidi" w:cstheme="majorBidi"/>
                <w:i/>
                <w:iCs/>
                <w:szCs w:val="22"/>
              </w:rPr>
              <w:t>ance</w:t>
            </w:r>
            <w:r>
              <w:rPr>
                <w:rFonts w:asciiTheme="majorBidi" w:hAnsiTheme="majorBidi" w:cstheme="majorBidi"/>
                <w:i/>
                <w:iCs/>
                <w:szCs w:val="22"/>
              </w:rPr>
              <w:t>”</w:t>
            </w:r>
            <w:r w:rsidRPr="003950AB">
              <w:rPr>
                <w:rFonts w:asciiTheme="majorBidi" w:hAnsiTheme="majorBidi" w:cstheme="majorBidi"/>
                <w:i/>
                <w:iCs/>
                <w:szCs w:val="22"/>
              </w:rPr>
              <w:t xml:space="preserve"> </w:t>
            </w:r>
          </w:p>
          <w:p w:rsidR="00915616" w:rsidRPr="003950AB" w:rsidRDefault="00915616" w:rsidP="00787C74">
            <w:pPr>
              <w:tabs>
                <w:tab w:val="left" w:pos="5367"/>
              </w:tabs>
              <w:rPr>
                <w:rFonts w:asciiTheme="majorBidi" w:hAnsiTheme="majorBidi" w:cstheme="majorBidi"/>
                <w:b/>
                <w:bCs/>
                <w:i/>
                <w:iCs/>
                <w:szCs w:val="22"/>
              </w:rPr>
            </w:pPr>
            <w:r>
              <w:rPr>
                <w:rFonts w:asciiTheme="majorBidi" w:hAnsiTheme="majorBidi" w:cstheme="majorBidi"/>
                <w:i/>
                <w:iCs/>
                <w:szCs w:val="22"/>
              </w:rPr>
              <w:t>“</w:t>
            </w:r>
            <w:r w:rsidRPr="003950AB">
              <w:rPr>
                <w:rFonts w:asciiTheme="majorBidi" w:hAnsiTheme="majorBidi" w:cstheme="majorBidi"/>
                <w:i/>
                <w:iCs/>
                <w:szCs w:val="22"/>
              </w:rPr>
              <w:t>Suddenly I felt I lost control</w:t>
            </w:r>
            <w:r>
              <w:rPr>
                <w:rFonts w:asciiTheme="majorBidi" w:hAnsiTheme="majorBidi" w:cstheme="majorBidi"/>
                <w:i/>
                <w:iCs/>
                <w:szCs w:val="22"/>
              </w:rPr>
              <w:t>”</w:t>
            </w:r>
            <w:r w:rsidRPr="003950AB">
              <w:rPr>
                <w:rFonts w:asciiTheme="majorBidi" w:hAnsiTheme="majorBidi" w:cstheme="majorBidi"/>
                <w:i/>
                <w:iCs/>
                <w:szCs w:val="22"/>
              </w:rPr>
              <w:t xml:space="preserve"> (OS_FF2011)</w:t>
            </w:r>
          </w:p>
        </w:tc>
      </w:tr>
    </w:tbl>
    <w:p w:rsidR="006D50FE" w:rsidRDefault="006D50FE">
      <w:pPr>
        <w:pStyle w:val="Heading1"/>
        <w:sectPr w:rsidR="006D50FE" w:rsidSect="009E164D">
          <w:headerReference w:type="even" r:id="rId24"/>
          <w:headerReference w:type="default" r:id="rId25"/>
          <w:footerReference w:type="even" r:id="rId26"/>
          <w:footerReference w:type="default" r:id="rId27"/>
          <w:pgSz w:w="15840" w:h="12240" w:orient="landscape" w:code="1"/>
          <w:pgMar w:top="1440" w:right="1440" w:bottom="2160" w:left="1440" w:header="720" w:footer="720" w:gutter="0"/>
          <w:cols w:space="708"/>
          <w:docGrid w:linePitch="360"/>
        </w:sectPr>
      </w:pPr>
      <w:bookmarkStart w:id="10" w:name="_GoBack"/>
      <w:bookmarkEnd w:id="10"/>
    </w:p>
    <w:p w:rsidR="006D50FE" w:rsidRDefault="00197065" w:rsidP="00197065">
      <w:pPr>
        <w:pStyle w:val="Heading1"/>
      </w:pPr>
      <w:r>
        <w:lastRenderedPageBreak/>
        <w:t>Biographies</w:t>
      </w:r>
    </w:p>
    <w:p w:rsidR="006D50FE" w:rsidRDefault="007317BE" w:rsidP="00197065">
      <w:r>
        <w:rPr>
          <w:b/>
          <w:bCs/>
          <w:noProof/>
          <w:lang w:bidi="ar-SA"/>
        </w:rPr>
        <w:drawing>
          <wp:anchor distT="0" distB="0" distL="114300" distR="114300" simplePos="0" relativeHeight="3" behindDoc="0" locked="0" layoutInCell="1" allowOverlap="1" wp14:anchorId="4AF3E80D" wp14:editId="0A1A056E">
            <wp:simplePos x="0" y="0"/>
            <wp:positionH relativeFrom="column">
              <wp:posOffset>-635</wp:posOffset>
            </wp:positionH>
            <wp:positionV relativeFrom="paragraph">
              <wp:posOffset>1905</wp:posOffset>
            </wp:positionV>
            <wp:extent cx="1371600" cy="1517904"/>
            <wp:effectExtent l="0" t="0" r="0" b="6350"/>
            <wp:wrapSquare wrapText="bothSides"/>
            <wp:docPr id="1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pic:nvPicPr>
                  <pic:blipFill rotWithShape="1">
                    <a:blip r:embed="rId28" cstate="print">
                      <a:extLst>
                        <a:ext uri="{28A0092B-C50C-407E-A947-70E740481C1C}">
                          <a14:useLocalDpi xmlns:a14="http://schemas.microsoft.com/office/drawing/2010/main" val="0"/>
                        </a:ext>
                      </a:extLst>
                    </a:blip>
                    <a:srcRect/>
                    <a:stretch>
                      <a:fillRect/>
                    </a:stretch>
                  </pic:blipFill>
                  <pic:spPr>
                    <a:xfrm>
                      <a:off x="0" y="0"/>
                      <a:ext cx="1371600" cy="1517904"/>
                    </a:xfrm>
                    <a:prstGeom prst="rect">
                      <a:avLst/>
                    </a:prstGeom>
                  </pic:spPr>
                </pic:pic>
              </a:graphicData>
            </a:graphic>
            <wp14:sizeRelH relativeFrom="margin">
              <wp14:pctWidth>0</wp14:pctWidth>
            </wp14:sizeRelH>
            <wp14:sizeRelV relativeFrom="margin">
              <wp14:pctHeight>0</wp14:pctHeight>
            </wp14:sizeRelV>
          </wp:anchor>
        </w:drawing>
      </w:r>
      <w:r>
        <w:rPr>
          <w:b/>
          <w:bCs/>
        </w:rPr>
        <w:t>Dr. Rachel Nave</w:t>
      </w:r>
      <w:r>
        <w:t xml:space="preserve"> is the Head of the Exam</w:t>
      </w:r>
      <w:r w:rsidR="007C0786">
        <w:t>ination</w:t>
      </w:r>
      <w:r>
        <w:t xml:space="preserve"> and Assessment Unit at The Ruth and Bruce Rappaport Faculty of Medicine, </w:t>
      </w:r>
      <w:proofErr w:type="spellStart"/>
      <w:r>
        <w:t>Technion</w:t>
      </w:r>
      <w:proofErr w:type="spellEnd"/>
      <w:r>
        <w:t>—Israel Institute of</w:t>
      </w:r>
      <w:r>
        <w:rPr>
          <w:rtl/>
        </w:rPr>
        <w:t xml:space="preserve"> </w:t>
      </w:r>
      <w:r>
        <w:t>Technology, Haifa, Israel. She leads the faculty development program for medical educators since 2009.</w:t>
      </w:r>
    </w:p>
    <w:p w:rsidR="006D50FE" w:rsidRDefault="006D50FE" w:rsidP="00197065"/>
    <w:p w:rsidR="006D50FE" w:rsidRDefault="006D50FE" w:rsidP="00197065"/>
    <w:p w:rsidR="00197065" w:rsidRDefault="00197065" w:rsidP="00197065"/>
    <w:p w:rsidR="002C2C65" w:rsidRDefault="002C2C65" w:rsidP="00197065"/>
    <w:p w:rsidR="00943FDF" w:rsidRDefault="00943FDF" w:rsidP="00197065"/>
    <w:p w:rsidR="006D50FE" w:rsidRDefault="007317BE" w:rsidP="00197065">
      <w:r>
        <w:rPr>
          <w:b/>
          <w:bCs/>
          <w:noProof/>
          <w:color w:val="222222"/>
          <w:lang w:bidi="ar-SA"/>
        </w:rPr>
        <w:drawing>
          <wp:anchor distT="0" distB="0" distL="114300" distR="114300" simplePos="0" relativeHeight="4" behindDoc="0" locked="0" layoutInCell="1" allowOverlap="1" wp14:anchorId="4C274537" wp14:editId="19973808">
            <wp:simplePos x="0" y="0"/>
            <wp:positionH relativeFrom="column">
              <wp:align>left</wp:align>
            </wp:positionH>
            <wp:positionV relativeFrom="paragraph">
              <wp:posOffset>92075</wp:posOffset>
            </wp:positionV>
            <wp:extent cx="1371600" cy="1527048"/>
            <wp:effectExtent l="0" t="0" r="0" b="0"/>
            <wp:wrapSquare wrapText="bothSides"/>
            <wp:docPr id="10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pic:nvPicPr>
                  <pic:blipFill rotWithShape="1">
                    <a:blip r:embed="rId29" cstate="print">
                      <a:extLst>
                        <a:ext uri="{28A0092B-C50C-407E-A947-70E740481C1C}">
                          <a14:useLocalDpi xmlns:a14="http://schemas.microsoft.com/office/drawing/2010/main" val="0"/>
                        </a:ext>
                      </a:extLst>
                    </a:blip>
                    <a:srcRect/>
                    <a:stretch>
                      <a:fillRect/>
                    </a:stretch>
                  </pic:blipFill>
                  <pic:spPr>
                    <a:xfrm>
                      <a:off x="0" y="0"/>
                      <a:ext cx="1371600" cy="1527048"/>
                    </a:xfrm>
                    <a:prstGeom prst="rect">
                      <a:avLst/>
                    </a:prstGeom>
                  </pic:spPr>
                </pic:pic>
              </a:graphicData>
            </a:graphic>
            <wp14:sizeRelH relativeFrom="margin">
              <wp14:pctWidth>0</wp14:pctWidth>
            </wp14:sizeRelH>
            <wp14:sizeRelV relativeFrom="margin">
              <wp14:pctHeight>0</wp14:pctHeight>
            </wp14:sizeRelV>
          </wp:anchor>
        </w:drawing>
      </w:r>
      <w:r>
        <w:rPr>
          <w:b/>
          <w:bCs/>
          <w:color w:val="222222"/>
        </w:rPr>
        <w:t xml:space="preserve">Assistant Professor </w:t>
      </w:r>
      <w:proofErr w:type="spellStart"/>
      <w:r>
        <w:rPr>
          <w:b/>
          <w:bCs/>
          <w:color w:val="222222"/>
        </w:rPr>
        <w:t>Rakefet</w:t>
      </w:r>
      <w:proofErr w:type="spellEnd"/>
      <w:r>
        <w:rPr>
          <w:b/>
          <w:bCs/>
          <w:color w:val="222222"/>
        </w:rPr>
        <w:t xml:space="preserve"> Ackerman </w:t>
      </w:r>
      <w:r>
        <w:t>is a faculty member in the Fa</w:t>
      </w:r>
      <w:r>
        <w:t>c</w:t>
      </w:r>
      <w:r>
        <w:t>ulty of Industrial Enginee</w:t>
      </w:r>
      <w:r>
        <w:t>r</w:t>
      </w:r>
      <w:r>
        <w:t xml:space="preserve">ing &amp; Management at the </w:t>
      </w:r>
      <w:proofErr w:type="spellStart"/>
      <w:r>
        <w:t>Technion</w:t>
      </w:r>
      <w:proofErr w:type="spellEnd"/>
      <w:r>
        <w:t>—Israel Institute of</w:t>
      </w:r>
      <w:r>
        <w:rPr>
          <w:rtl/>
        </w:rPr>
        <w:t xml:space="preserve"> </w:t>
      </w:r>
      <w:r>
        <w:t>Technology and the head of the Behavioral Sciences lab. Her studies are based on the metacognitive approach, by which subjective a</w:t>
      </w:r>
      <w:r>
        <w:t>s</w:t>
      </w:r>
      <w:r>
        <w:t xml:space="preserve">sessment, or monitoring, of knowledge guides the actions people take to achieve their goals. Understanding the factors that affect the reliability of </w:t>
      </w:r>
      <w:proofErr w:type="gramStart"/>
      <w:r>
        <w:t>this metacognitive monitoring offers</w:t>
      </w:r>
      <w:proofErr w:type="gramEnd"/>
      <w:r>
        <w:t xml:space="preserve"> a foundation for developing effe</w:t>
      </w:r>
      <w:r>
        <w:t>c</w:t>
      </w:r>
      <w:r>
        <w:t>tive learning environments and techniques.</w:t>
      </w:r>
    </w:p>
    <w:p w:rsidR="00943FDF" w:rsidRDefault="00943FDF" w:rsidP="00197065"/>
    <w:p w:rsidR="00197065" w:rsidRDefault="00197065" w:rsidP="00197065"/>
    <w:p w:rsidR="00197065" w:rsidRDefault="00197065">
      <w:pPr>
        <w:spacing w:after="0"/>
        <w:rPr>
          <w:b/>
          <w:bCs/>
        </w:rPr>
      </w:pPr>
    </w:p>
    <w:p w:rsidR="006D50FE" w:rsidRDefault="007317BE" w:rsidP="00197065">
      <w:r>
        <w:rPr>
          <w:b/>
          <w:bCs/>
          <w:noProof/>
          <w:lang w:bidi="ar-SA"/>
        </w:rPr>
        <w:drawing>
          <wp:anchor distT="0" distB="0" distL="114300" distR="114300" simplePos="0" relativeHeight="5" behindDoc="0" locked="0" layoutInCell="1" allowOverlap="1" wp14:anchorId="594D57B5" wp14:editId="072A9B91">
            <wp:simplePos x="0" y="0"/>
            <wp:positionH relativeFrom="column">
              <wp:posOffset>-635</wp:posOffset>
            </wp:positionH>
            <wp:positionV relativeFrom="paragraph">
              <wp:posOffset>0</wp:posOffset>
            </wp:positionV>
            <wp:extent cx="1371823" cy="1563624"/>
            <wp:effectExtent l="0" t="0" r="0" b="0"/>
            <wp:wrapSquare wrapText="bothSides"/>
            <wp:docPr id="10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2"/>
                    <pic:cNvPicPr/>
                  </pic:nvPicPr>
                  <pic:blipFill rotWithShape="1">
                    <a:blip r:embed="rId30" cstate="print">
                      <a:extLst>
                        <a:ext uri="{28A0092B-C50C-407E-A947-70E740481C1C}">
                          <a14:useLocalDpi xmlns:a14="http://schemas.microsoft.com/office/drawing/2010/main" val="0"/>
                        </a:ext>
                      </a:extLst>
                    </a:blip>
                    <a:srcRect/>
                    <a:stretch>
                      <a:fillRect/>
                    </a:stretch>
                  </pic:blipFill>
                  <pic:spPr>
                    <a:xfrm>
                      <a:off x="0" y="0"/>
                      <a:ext cx="1371823" cy="1563624"/>
                    </a:xfrm>
                    <a:prstGeom prst="rect">
                      <a:avLst/>
                    </a:prstGeom>
                  </pic:spPr>
                </pic:pic>
              </a:graphicData>
            </a:graphic>
            <wp14:sizeRelH relativeFrom="margin">
              <wp14:pctWidth>0</wp14:pctWidth>
            </wp14:sizeRelH>
            <wp14:sizeRelV relativeFrom="margin">
              <wp14:pctHeight>0</wp14:pctHeight>
            </wp14:sizeRelV>
          </wp:anchor>
        </w:drawing>
      </w:r>
      <w:r>
        <w:rPr>
          <w:b/>
          <w:bCs/>
        </w:rPr>
        <w:t>Professor Yehudit Judy Dori</w:t>
      </w:r>
      <w:r>
        <w:t xml:space="preserve"> is the Dean of the Faculty of Science and Technology Education at the </w:t>
      </w:r>
      <w:proofErr w:type="spellStart"/>
      <w:r>
        <w:t>Technion</w:t>
      </w:r>
      <w:proofErr w:type="spellEnd"/>
      <w:r>
        <w:t>—Israel Institute of</w:t>
      </w:r>
      <w:r>
        <w:rPr>
          <w:rtl/>
        </w:rPr>
        <w:t xml:space="preserve"> </w:t>
      </w:r>
      <w:r>
        <w:t xml:space="preserve">Technology and a Senior Researcher at the Samuel </w:t>
      </w:r>
      <w:proofErr w:type="spellStart"/>
      <w:r>
        <w:t>Neaman</w:t>
      </w:r>
      <w:proofErr w:type="spellEnd"/>
      <w:r>
        <w:t xml:space="preserve"> Institute for National Po</w:t>
      </w:r>
      <w:r>
        <w:t>l</w:t>
      </w:r>
      <w:r>
        <w:t>icy Research, Haifa, Israel. From 2009 to 2013, she was the Dean of Co</w:t>
      </w:r>
      <w:r>
        <w:t>n</w:t>
      </w:r>
      <w:r>
        <w:t xml:space="preserve">tinuing Education and External Studies at the </w:t>
      </w:r>
      <w:proofErr w:type="spellStart"/>
      <w:r>
        <w:t>Technion</w:t>
      </w:r>
      <w:proofErr w:type="spellEnd"/>
      <w:r>
        <w:t xml:space="preserve">. </w:t>
      </w:r>
      <w:r w:rsidR="008271C3">
        <w:t xml:space="preserve">Between 2000 and 2014, she was </w:t>
      </w:r>
      <w:r w:rsidR="0091586B">
        <w:t xml:space="preserve">a </w:t>
      </w:r>
      <w:r w:rsidR="008271C3">
        <w:t xml:space="preserve">Visiting Professor and </w:t>
      </w:r>
      <w:r w:rsidR="0091586B">
        <w:t xml:space="preserve">a </w:t>
      </w:r>
      <w:r w:rsidR="008271C3">
        <w:t>Visiting Scholar at Mass</w:t>
      </w:r>
      <w:r w:rsidR="008271C3">
        <w:t>a</w:t>
      </w:r>
      <w:r w:rsidR="008271C3">
        <w:t xml:space="preserve">chusetts Institute of Technology. </w:t>
      </w:r>
      <w:r>
        <w:t>Her research focuses on learning that utilizes a combination of advanced technologies, scientific visualizations, high-level thinking skills, metacognition, and assessment of school and university-level educational projects.</w:t>
      </w:r>
    </w:p>
    <w:sectPr w:rsidR="006D50FE" w:rsidSect="009E164D">
      <w:headerReference w:type="even" r:id="rId31"/>
      <w:headerReference w:type="default" r:id="rId32"/>
      <w:footerReference w:type="even" r:id="rId33"/>
      <w:footerReference w:type="default" r:id="rId34"/>
      <w:headerReference w:type="first" r:id="rId35"/>
      <w:footerReference w:type="first" r:id="rId36"/>
      <w:pgSz w:w="12240" w:h="15840" w:code="1"/>
      <w:pgMar w:top="1440" w:right="1440" w:bottom="1440" w:left="21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28F" w:rsidRDefault="0095628F">
      <w:pPr>
        <w:spacing w:after="0"/>
      </w:pPr>
      <w:r>
        <w:separator/>
      </w:r>
    </w:p>
  </w:endnote>
  <w:endnote w:type="continuationSeparator" w:id="0">
    <w:p w:rsidR="0095628F" w:rsidRDefault="009562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197065" w:rsidRDefault="003C1B44" w:rsidP="00197065">
    <w:pPr>
      <w:pStyle w:val="Footer"/>
    </w:pPr>
    <w:r w:rsidRPr="003D250C">
      <w:rPr>
        <w:rFonts w:ascii="Garamond" w:hAnsi="Garamond"/>
        <w:sz w:val="22"/>
      </w:rPr>
      <w:fldChar w:fldCharType="begin"/>
    </w:r>
    <w:r w:rsidRPr="003D250C">
      <w:rPr>
        <w:rFonts w:ascii="Garamond" w:hAnsi="Garamond"/>
        <w:sz w:val="22"/>
      </w:rPr>
      <w:instrText xml:space="preserve"> PAGE   \* MERGEFORMAT </w:instrText>
    </w:r>
    <w:r w:rsidRPr="003D250C">
      <w:rPr>
        <w:rFonts w:ascii="Garamond" w:hAnsi="Garamond"/>
        <w:sz w:val="22"/>
      </w:rPr>
      <w:fldChar w:fldCharType="separate"/>
    </w:r>
    <w:r w:rsidR="00B01B27">
      <w:rPr>
        <w:rFonts w:ascii="Garamond" w:hAnsi="Garamond"/>
        <w:noProof/>
        <w:sz w:val="22"/>
      </w:rPr>
      <w:t>14</w:t>
    </w:r>
    <w:r w:rsidRPr="003D250C">
      <w:rPr>
        <w:rFonts w:ascii="Garamond" w:hAnsi="Garamond"/>
        <w:noProof/>
        <w:sz w:val="22"/>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3D250C" w:rsidRDefault="003C1B44">
    <w:pPr>
      <w:pStyle w:val="Footer"/>
      <w:jc w:val="right"/>
      <w:rPr>
        <w:rFonts w:ascii="Garamond" w:hAnsi="Garamond"/>
        <w:sz w:val="22"/>
      </w:rPr>
    </w:pPr>
    <w:r w:rsidRPr="003D250C">
      <w:rPr>
        <w:rFonts w:ascii="Garamond" w:hAnsi="Garamond"/>
        <w:sz w:val="22"/>
      </w:rPr>
      <w:fldChar w:fldCharType="begin"/>
    </w:r>
    <w:r w:rsidRPr="003D250C">
      <w:rPr>
        <w:rFonts w:ascii="Garamond" w:hAnsi="Garamond"/>
        <w:sz w:val="22"/>
      </w:rPr>
      <w:instrText xml:space="preserve"> PAGE   \* MERGEFORMAT </w:instrText>
    </w:r>
    <w:r w:rsidRPr="003D250C">
      <w:rPr>
        <w:rFonts w:ascii="Garamond" w:hAnsi="Garamond"/>
        <w:sz w:val="22"/>
      </w:rPr>
      <w:fldChar w:fldCharType="separate"/>
    </w:r>
    <w:r w:rsidR="00B01B27">
      <w:rPr>
        <w:rFonts w:ascii="Garamond" w:hAnsi="Garamond"/>
        <w:noProof/>
        <w:sz w:val="22"/>
      </w:rPr>
      <w:t>15</w:t>
    </w:r>
    <w:r w:rsidRPr="003D250C">
      <w:rPr>
        <w:rFonts w:ascii="Garamond" w:hAnsi="Garamond"/>
        <w:noProof/>
        <w:sz w:val="22"/>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C20501" w:rsidRDefault="003C1B44" w:rsidP="009E164D">
    <w:pPr>
      <w:pStyle w:val="PaperInfo"/>
      <w:spacing w:after="120"/>
      <w:rPr>
        <w:sz w:val="20"/>
        <w:szCs w:val="20"/>
      </w:rPr>
    </w:pPr>
    <w:r w:rsidRPr="005E2979">
      <w:rPr>
        <w:sz w:val="20"/>
        <w:szCs w:val="20"/>
      </w:rPr>
      <w:t xml:space="preserve">Accepted by Editor </w:t>
    </w:r>
    <w:r>
      <w:rPr>
        <w:sz w:val="20"/>
        <w:szCs w:val="20"/>
      </w:rPr>
      <w:t xml:space="preserve">Fay </w:t>
    </w:r>
    <w:proofErr w:type="spellStart"/>
    <w:r>
      <w:rPr>
        <w:sz w:val="20"/>
        <w:szCs w:val="20"/>
      </w:rPr>
      <w:t>Sudweeks</w:t>
    </w:r>
    <w:proofErr w:type="spellEnd"/>
    <w:r>
      <w:rPr>
        <w:sz w:val="20"/>
        <w:szCs w:val="20"/>
      </w:rPr>
      <w:t xml:space="preserve"> │Received: March 17</w:t>
    </w:r>
    <w:r w:rsidRPr="005E2979">
      <w:rPr>
        <w:sz w:val="20"/>
        <w:szCs w:val="20"/>
      </w:rPr>
      <w:t xml:space="preserve">, 2016│ Revised: </w:t>
    </w:r>
    <w:r>
      <w:rPr>
        <w:sz w:val="20"/>
        <w:szCs w:val="20"/>
      </w:rPr>
      <w:t>December</w:t>
    </w:r>
    <w:r w:rsidRPr="005E2979">
      <w:rPr>
        <w:sz w:val="20"/>
        <w:szCs w:val="20"/>
      </w:rPr>
      <w:t xml:space="preserve"> </w:t>
    </w:r>
    <w:r>
      <w:rPr>
        <w:sz w:val="20"/>
        <w:szCs w:val="20"/>
      </w:rPr>
      <w:t>12, December 29</w:t>
    </w:r>
    <w:r w:rsidRPr="005E2979">
      <w:rPr>
        <w:sz w:val="20"/>
        <w:szCs w:val="20"/>
      </w:rPr>
      <w:t xml:space="preserve">, 2016 │ Accepted: </w:t>
    </w:r>
    <w:r>
      <w:rPr>
        <w:sz w:val="20"/>
        <w:szCs w:val="20"/>
      </w:rPr>
      <w:t>December</w:t>
    </w:r>
    <w:r w:rsidRPr="005E2979">
      <w:rPr>
        <w:sz w:val="20"/>
        <w:szCs w:val="20"/>
      </w:rPr>
      <w:t xml:space="preserve"> </w:t>
    </w:r>
    <w:r>
      <w:rPr>
        <w:sz w:val="20"/>
        <w:szCs w:val="20"/>
      </w:rPr>
      <w:t>30</w:t>
    </w:r>
    <w:r w:rsidRPr="005E2979">
      <w:rPr>
        <w:sz w:val="20"/>
        <w:szCs w:val="20"/>
      </w:rPr>
      <w:t>, 2016.</w:t>
    </w:r>
    <w:r>
      <w:rPr>
        <w:sz w:val="20"/>
        <w:szCs w:val="20"/>
      </w:rPr>
      <w:t xml:space="preserve"> </w:t>
    </w:r>
    <w:r w:rsidRPr="005E2979">
      <w:rPr>
        <w:sz w:val="20"/>
        <w:szCs w:val="20"/>
      </w:rPr>
      <w:br/>
    </w:r>
    <w:r w:rsidRPr="009E164D">
      <w:rPr>
        <w:sz w:val="20"/>
        <w:szCs w:val="20"/>
      </w:rPr>
      <w:t>Cite as: Nave, R., Ackerman, R., &amp; Dori, Y. J. (2017). Medical community of inquiry: A diagnostic tool for learning, assessment, and research.</w:t>
    </w:r>
    <w:r w:rsidRPr="009E164D">
      <w:rPr>
        <w:i/>
        <w:sz w:val="20"/>
        <w:szCs w:val="20"/>
      </w:rPr>
      <w:t xml:space="preserve"> </w:t>
    </w:r>
    <w:r w:rsidRPr="009E164D">
      <w:rPr>
        <w:bCs/>
        <w:i/>
        <w:sz w:val="20"/>
        <w:szCs w:val="20"/>
      </w:rPr>
      <w:t>Interdisciplinary Journal of e-Skills and Lifelong Learning</w:t>
    </w:r>
    <w:r w:rsidRPr="009E164D">
      <w:rPr>
        <w:i/>
        <w:sz w:val="20"/>
        <w:szCs w:val="20"/>
      </w:rPr>
      <w:t>, 13,</w:t>
    </w:r>
    <w:r w:rsidRPr="009E164D">
      <w:rPr>
        <w:sz w:val="20"/>
        <w:szCs w:val="20"/>
      </w:rPr>
      <w:t xml:space="preserve"> </w:t>
    </w:r>
    <w:r w:rsidR="00C20501">
      <w:rPr>
        <w:sz w:val="20"/>
        <w:szCs w:val="20"/>
      </w:rPr>
      <w:t xml:space="preserve">1-17. Retrieved </w:t>
    </w:r>
    <w:r w:rsidR="00C20501" w:rsidRPr="00C20501">
      <w:rPr>
        <w:sz w:val="20"/>
        <w:szCs w:val="20"/>
      </w:rPr>
      <w:t xml:space="preserve">from </w:t>
    </w:r>
    <w:hyperlink r:id="rId1" w:history="1">
      <w:r w:rsidR="00C20501" w:rsidRPr="00C20501">
        <w:rPr>
          <w:rStyle w:val="Hyperlink"/>
          <w:sz w:val="20"/>
          <w:szCs w:val="20"/>
        </w:rPr>
        <w:t>http://www.informingscience.org/Publications/3632</w:t>
      </w:r>
    </w:hyperlink>
    <w:r w:rsidR="00C20501" w:rsidRPr="00C20501">
      <w:rPr>
        <w:sz w:val="20"/>
        <w:szCs w:val="20"/>
      </w:rPr>
      <w:t xml:space="preserve"> </w:t>
    </w:r>
  </w:p>
  <w:p w:rsidR="003C1B44" w:rsidRPr="009E164D" w:rsidRDefault="003C1B44" w:rsidP="009E164D">
    <w:pPr>
      <w:pStyle w:val="Foote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it to you under a </w:t>
    </w:r>
    <w:hyperlink r:id="rId2" w:history="1">
      <w:r w:rsidRPr="007E18B1">
        <w:rPr>
          <w:rStyle w:val="Hyperlink"/>
          <w:rFonts w:ascii="Garamond" w:hAnsi="Garamond"/>
          <w:sz w:val="18"/>
        </w:rPr>
        <w:t>Creative Commons Attribution-</w:t>
      </w:r>
      <w:proofErr w:type="spellStart"/>
      <w:r w:rsidRPr="007E18B1">
        <w:rPr>
          <w:rStyle w:val="Hyperlink"/>
          <w:rFonts w:ascii="Garamond" w:hAnsi="Garamond"/>
          <w:sz w:val="18"/>
        </w:rPr>
        <w:t>NonCommercial</w:t>
      </w:r>
      <w:proofErr w:type="spellEnd"/>
      <w:r w:rsidRPr="007E18B1">
        <w:rPr>
          <w:rStyle w:val="Hyperlink"/>
          <w:rFonts w:ascii="Garamond" w:hAnsi="Garamond"/>
          <w:sz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197065" w:rsidRDefault="003C1B44" w:rsidP="0019706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3D250C" w:rsidRDefault="003C1B44" w:rsidP="003D250C">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Default="003C1B44">
    <w:pPr>
      <w:pStyle w:val="Footer"/>
    </w:pPr>
    <w:r>
      <w:rPr>
        <w:rStyle w:val="PageNumber"/>
      </w:rPr>
      <w:fldChar w:fldCharType="begin"/>
    </w:r>
    <w:r>
      <w:rPr>
        <w:rStyle w:val="PageNumber"/>
      </w:rPr>
      <w:instrText xml:space="preserve"> PAGE </w:instrText>
    </w:r>
    <w:r>
      <w:rPr>
        <w:rStyle w:val="PageNumber"/>
      </w:rPr>
      <w:fldChar w:fldCharType="separate"/>
    </w:r>
    <w:r w:rsidR="00B01B27">
      <w:rPr>
        <w:rStyle w:val="PageNumber"/>
        <w:noProof/>
      </w:rPr>
      <w:t>18</w:t>
    </w:r>
    <w:r>
      <w:rPr>
        <w:rStyle w:val="PageNumber"/>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Default="003C1B44">
    <w:pPr>
      <w:pStyle w:val="Footer"/>
    </w:pPr>
    <w:r>
      <w:tab/>
    </w:r>
    <w:r>
      <w:rPr>
        <w:rStyle w:val="PageNumber"/>
      </w:rPr>
      <w:fldChar w:fldCharType="begin"/>
    </w:r>
    <w:r>
      <w:rPr>
        <w:rStyle w:val="PageNumber"/>
      </w:rPr>
      <w:instrText xml:space="preserve"> PAGE </w:instrText>
    </w:r>
    <w:r>
      <w:rPr>
        <w:rStyle w:val="PageNumber"/>
      </w:rPr>
      <w:fldChar w:fldCharType="separate"/>
    </w:r>
    <w:r w:rsidR="00B01B27">
      <w:rPr>
        <w:rStyle w:val="PageNumber"/>
        <w:noProof/>
      </w:rPr>
      <w:t>17</w:t>
    </w:r>
    <w:r>
      <w:rPr>
        <w:rStyle w:val="PageNumber"/>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39733C" w:rsidRDefault="003C1B44" w:rsidP="0039733C">
    <w:pPr>
      <w:pStyle w:val="Footer"/>
    </w:pPr>
    <w:r>
      <w:fldChar w:fldCharType="begin"/>
    </w:r>
    <w:r>
      <w:instrText xml:space="preserve"> PAGE   \* MERGEFORMAT </w:instrText>
    </w:r>
    <w:r>
      <w:fldChar w:fldCharType="separate"/>
    </w:r>
    <w:r>
      <w:rPr>
        <w:noProof/>
      </w:rPr>
      <w:t>18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28F" w:rsidRDefault="0095628F">
      <w:pPr>
        <w:spacing w:after="0"/>
      </w:pPr>
      <w:r>
        <w:separator/>
      </w:r>
    </w:p>
  </w:footnote>
  <w:footnote w:type="continuationSeparator" w:id="0">
    <w:p w:rsidR="0095628F" w:rsidRDefault="0095628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Default="003C1B44">
    <w:pPr>
      <w:pStyle w:val="Header"/>
    </w:pPr>
    <w:r w:rsidRPr="003D250C">
      <w:rPr>
        <w:rFonts w:ascii="Garamond" w:hAnsi="Garamond"/>
        <w:sz w:val="22"/>
      </w:rPr>
      <w:t>DTLAR: A Diagnostic Tool for Learning, Assessment, and Research</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3D250C" w:rsidRDefault="003C1B44" w:rsidP="003B3789">
    <w:pPr>
      <w:pStyle w:val="Header"/>
      <w:tabs>
        <w:tab w:val="clear" w:pos="8640"/>
      </w:tabs>
      <w:ind w:left="5040" w:firstLine="720"/>
      <w:jc w:val="right"/>
      <w:rPr>
        <w:rFonts w:ascii="Garamond" w:hAnsi="Garamond"/>
        <w:sz w:val="22"/>
      </w:rPr>
    </w:pPr>
    <w:r w:rsidRPr="003D250C">
      <w:rPr>
        <w:rFonts w:ascii="Garamond" w:hAnsi="Garamond"/>
        <w:sz w:val="22"/>
      </w:rPr>
      <w:t>Nave, Ackerman, &amp; Dori</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Default="003C1B44" w:rsidP="009E164D">
    <w:pPr>
      <w:pStyle w:val="Header"/>
    </w:pPr>
    <w:r>
      <w:rPr>
        <w:noProof/>
        <w:lang w:bidi="ar-SA"/>
        <w14:ligatures w14:val="none"/>
        <w14:stylisticSets/>
        <w14:cntxtAlts w14:val="0"/>
      </w:rPr>
      <w:drawing>
        <wp:inline distT="0" distB="0" distL="0" distR="0" wp14:anchorId="1F1C279D" wp14:editId="16287F37">
          <wp:extent cx="5478780" cy="1170305"/>
          <wp:effectExtent l="0" t="0" r="7620" b="0"/>
          <wp:docPr id="1" name="Picture 1"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3C1B44" w:rsidRPr="009E164D" w:rsidRDefault="003C1B44" w:rsidP="009E164D">
    <w:pPr>
      <w:pStyle w:val="Header"/>
      <w:jc w:val="center"/>
      <w:rPr>
        <w:sz w:val="22"/>
      </w:rPr>
    </w:pPr>
    <w:r w:rsidRPr="009E164D">
      <w:rPr>
        <w:rFonts w:ascii="Garamond" w:hAnsi="Garamond"/>
        <w:b/>
        <w:sz w:val="28"/>
      </w:rPr>
      <w:t>Volume 13, 2017</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197065" w:rsidRDefault="003C1B44" w:rsidP="00197065">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3D250C" w:rsidRDefault="003C1B44" w:rsidP="003D250C">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3D250C" w:rsidRDefault="003C1B44">
    <w:pPr>
      <w:pStyle w:val="Header"/>
      <w:rPr>
        <w:rFonts w:ascii="Garamond" w:hAnsi="Garamond"/>
        <w:sz w:val="22"/>
        <w:szCs w:val="22"/>
      </w:rPr>
    </w:pPr>
    <w:r w:rsidRPr="003D250C">
      <w:rPr>
        <w:rFonts w:ascii="Garamond" w:hAnsi="Garamond"/>
        <w:sz w:val="22"/>
        <w:szCs w:val="22"/>
      </w:rPr>
      <w:t>DTLAR: A Diagnostic Tool for Learning, Assessment, and Research</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Default="003C1B44">
    <w:pPr>
      <w:pStyle w:val="Header"/>
    </w:pPr>
    <w:r>
      <w:tab/>
      <w:t>Nave, Ackerman, &amp; Dori</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1B44" w:rsidRPr="004967B9" w:rsidRDefault="003C1B44" w:rsidP="004967B9">
    <w:pPr>
      <w:pStyle w:val="Header"/>
    </w:pPr>
    <w:r>
      <w:t>DTLAR: A Diagnostic Tool for Learning, Assessment, and Research</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7CF096CA"/>
    <w:lvl w:ilvl="0">
      <w:start w:val="1"/>
      <w:numFmt w:val="lowerLetter"/>
      <w:lvlText w:val="%1."/>
      <w:lvlJc w:val="left"/>
      <w:pPr>
        <w:tabs>
          <w:tab w:val="left" w:pos="360"/>
        </w:tabs>
        <w:ind w:left="360" w:hanging="360"/>
      </w:pPr>
      <w:rPr>
        <w:rFonts w:hint="default"/>
      </w:rPr>
    </w:lvl>
    <w:lvl w:ilvl="1">
      <w:start w:val="1"/>
      <w:numFmt w:val="lowerLetter"/>
      <w:lvlText w:val="%2."/>
      <w:lvlJc w:val="left"/>
      <w:pPr>
        <w:tabs>
          <w:tab w:val="left" w:pos="360"/>
        </w:tabs>
        <w:ind w:left="360" w:hanging="360"/>
      </w:pPr>
    </w:lvl>
    <w:lvl w:ilvl="2">
      <w:start w:val="1"/>
      <w:numFmt w:val="lowerRoman"/>
      <w:lvlText w:val="%3."/>
      <w:lvlJc w:val="right"/>
      <w:pPr>
        <w:tabs>
          <w:tab w:val="left" w:pos="1080"/>
        </w:tabs>
        <w:ind w:left="1080" w:hanging="180"/>
      </w:pPr>
    </w:lvl>
    <w:lvl w:ilvl="3">
      <w:start w:val="1"/>
      <w:numFmt w:val="decimal"/>
      <w:lvlText w:val="%4."/>
      <w:lvlJc w:val="left"/>
      <w:pPr>
        <w:tabs>
          <w:tab w:val="left" w:pos="1800"/>
        </w:tabs>
        <w:ind w:left="1800" w:hanging="360"/>
      </w:pPr>
    </w:lvl>
    <w:lvl w:ilvl="4">
      <w:start w:val="1"/>
      <w:numFmt w:val="lowerLetter"/>
      <w:lvlText w:val="%5."/>
      <w:lvlJc w:val="left"/>
      <w:pPr>
        <w:tabs>
          <w:tab w:val="left" w:pos="2520"/>
        </w:tabs>
        <w:ind w:left="2520" w:hanging="360"/>
      </w:pPr>
    </w:lvl>
    <w:lvl w:ilvl="5">
      <w:start w:val="1"/>
      <w:numFmt w:val="lowerRoman"/>
      <w:lvlText w:val="%6."/>
      <w:lvlJc w:val="right"/>
      <w:pPr>
        <w:tabs>
          <w:tab w:val="left" w:pos="3240"/>
        </w:tabs>
        <w:ind w:left="3240" w:hanging="180"/>
      </w:pPr>
    </w:lvl>
    <w:lvl w:ilvl="6">
      <w:start w:val="1"/>
      <w:numFmt w:val="decimal"/>
      <w:lvlText w:val="%7."/>
      <w:lvlJc w:val="left"/>
      <w:pPr>
        <w:tabs>
          <w:tab w:val="left" w:pos="3960"/>
        </w:tabs>
        <w:ind w:left="3960" w:hanging="360"/>
      </w:pPr>
    </w:lvl>
    <w:lvl w:ilvl="7">
      <w:start w:val="1"/>
      <w:numFmt w:val="lowerLetter"/>
      <w:lvlText w:val="%8."/>
      <w:lvlJc w:val="left"/>
      <w:pPr>
        <w:tabs>
          <w:tab w:val="left" w:pos="4680"/>
        </w:tabs>
        <w:ind w:left="4680" w:hanging="360"/>
      </w:pPr>
    </w:lvl>
    <w:lvl w:ilvl="8">
      <w:start w:val="1"/>
      <w:numFmt w:val="lowerRoman"/>
      <w:lvlText w:val="%9."/>
      <w:lvlJc w:val="right"/>
      <w:pPr>
        <w:tabs>
          <w:tab w:val="left" w:pos="5400"/>
        </w:tabs>
        <w:ind w:left="5400" w:hanging="180"/>
      </w:pPr>
    </w:lvl>
  </w:abstractNum>
  <w:abstractNum w:abstractNumId="1">
    <w:nsid w:val="00000002"/>
    <w:multiLevelType w:val="hybridMultilevel"/>
    <w:tmpl w:val="5434D03C"/>
    <w:lvl w:ilvl="0" w:tplc="0409000F">
      <w:start w:val="1"/>
      <w:numFmt w:val="decimal"/>
      <w:lvlText w:val="%1."/>
      <w:lvlJc w:val="left"/>
      <w:pPr>
        <w:tabs>
          <w:tab w:val="left" w:pos="720"/>
        </w:tabs>
        <w:ind w:left="720" w:hanging="360"/>
      </w:pPr>
    </w:lvl>
    <w:lvl w:ilvl="1" w:tplc="04090019" w:tentative="1">
      <w:start w:val="1"/>
      <w:numFmt w:val="lowerLetter"/>
      <w:lvlText w:val="%2."/>
      <w:lvlJc w:val="left"/>
      <w:pPr>
        <w:tabs>
          <w:tab w:val="left" w:pos="1440"/>
        </w:tabs>
        <w:ind w:left="1440" w:hanging="360"/>
      </w:pPr>
    </w:lvl>
    <w:lvl w:ilvl="2" w:tplc="0409001B" w:tentative="1">
      <w:start w:val="1"/>
      <w:numFmt w:val="lowerRoman"/>
      <w:lvlText w:val="%3."/>
      <w:lvlJc w:val="right"/>
      <w:pPr>
        <w:tabs>
          <w:tab w:val="left" w:pos="2160"/>
        </w:tabs>
        <w:ind w:left="2160" w:hanging="180"/>
      </w:pPr>
    </w:lvl>
    <w:lvl w:ilvl="3" w:tplc="0409000F" w:tentative="1">
      <w:start w:val="1"/>
      <w:numFmt w:val="decimal"/>
      <w:lvlText w:val="%4."/>
      <w:lvlJc w:val="left"/>
      <w:pPr>
        <w:tabs>
          <w:tab w:val="left" w:pos="2880"/>
        </w:tabs>
        <w:ind w:left="2880" w:hanging="360"/>
      </w:pPr>
    </w:lvl>
    <w:lvl w:ilvl="4" w:tplc="04090019" w:tentative="1">
      <w:start w:val="1"/>
      <w:numFmt w:val="lowerLetter"/>
      <w:lvlText w:val="%5."/>
      <w:lvlJc w:val="left"/>
      <w:pPr>
        <w:tabs>
          <w:tab w:val="left" w:pos="3600"/>
        </w:tabs>
        <w:ind w:left="3600" w:hanging="360"/>
      </w:pPr>
    </w:lvl>
    <w:lvl w:ilvl="5" w:tplc="0409001B" w:tentative="1">
      <w:start w:val="1"/>
      <w:numFmt w:val="lowerRoman"/>
      <w:lvlText w:val="%6."/>
      <w:lvlJc w:val="right"/>
      <w:pPr>
        <w:tabs>
          <w:tab w:val="left" w:pos="4320"/>
        </w:tabs>
        <w:ind w:left="4320" w:hanging="180"/>
      </w:pPr>
    </w:lvl>
    <w:lvl w:ilvl="6" w:tplc="0409000F" w:tentative="1">
      <w:start w:val="1"/>
      <w:numFmt w:val="decimal"/>
      <w:lvlText w:val="%7."/>
      <w:lvlJc w:val="left"/>
      <w:pPr>
        <w:tabs>
          <w:tab w:val="left" w:pos="5040"/>
        </w:tabs>
        <w:ind w:left="5040" w:hanging="360"/>
      </w:pPr>
    </w:lvl>
    <w:lvl w:ilvl="7" w:tplc="04090019" w:tentative="1">
      <w:start w:val="1"/>
      <w:numFmt w:val="lowerLetter"/>
      <w:lvlText w:val="%8."/>
      <w:lvlJc w:val="left"/>
      <w:pPr>
        <w:tabs>
          <w:tab w:val="left" w:pos="5760"/>
        </w:tabs>
        <w:ind w:left="5760" w:hanging="360"/>
      </w:pPr>
    </w:lvl>
    <w:lvl w:ilvl="8" w:tplc="0409001B" w:tentative="1">
      <w:start w:val="1"/>
      <w:numFmt w:val="lowerRoman"/>
      <w:lvlText w:val="%9."/>
      <w:lvlJc w:val="right"/>
      <w:pPr>
        <w:tabs>
          <w:tab w:val="left" w:pos="6480"/>
        </w:tabs>
        <w:ind w:left="6480" w:hanging="180"/>
      </w:pPr>
    </w:lvl>
  </w:abstractNum>
  <w:abstractNum w:abstractNumId="2">
    <w:nsid w:val="00000003"/>
    <w:multiLevelType w:val="hybridMultilevel"/>
    <w:tmpl w:val="D2D0291C"/>
    <w:lvl w:ilvl="0" w:tplc="66A8A13C">
      <w:start w:val="1"/>
      <w:numFmt w:val="decimal"/>
      <w:lvlText w:val="%1."/>
      <w:lvlJc w:val="left"/>
      <w:pPr>
        <w:tabs>
          <w:tab w:val="left" w:pos="1080"/>
        </w:tabs>
        <w:ind w:left="1080" w:hanging="360"/>
      </w:pPr>
      <w:rPr>
        <w:rFonts w:hint="default"/>
      </w:rPr>
    </w:lvl>
    <w:lvl w:ilvl="1" w:tplc="04090019" w:tentative="1">
      <w:start w:val="1"/>
      <w:numFmt w:val="lowerLetter"/>
      <w:lvlText w:val="%2."/>
      <w:lvlJc w:val="left"/>
      <w:pPr>
        <w:tabs>
          <w:tab w:val="left" w:pos="1080"/>
        </w:tabs>
        <w:ind w:left="1080" w:hanging="360"/>
      </w:pPr>
    </w:lvl>
    <w:lvl w:ilvl="2" w:tplc="0409001B" w:tentative="1">
      <w:start w:val="1"/>
      <w:numFmt w:val="lowerRoman"/>
      <w:lvlText w:val="%3."/>
      <w:lvlJc w:val="right"/>
      <w:pPr>
        <w:tabs>
          <w:tab w:val="left" w:pos="1800"/>
        </w:tabs>
        <w:ind w:left="1800" w:hanging="180"/>
      </w:pPr>
    </w:lvl>
    <w:lvl w:ilvl="3" w:tplc="0409000F" w:tentative="1">
      <w:start w:val="1"/>
      <w:numFmt w:val="decimal"/>
      <w:lvlText w:val="%4."/>
      <w:lvlJc w:val="left"/>
      <w:pPr>
        <w:tabs>
          <w:tab w:val="left" w:pos="2520"/>
        </w:tabs>
        <w:ind w:left="2520" w:hanging="360"/>
      </w:pPr>
    </w:lvl>
    <w:lvl w:ilvl="4" w:tplc="04090019" w:tentative="1">
      <w:start w:val="1"/>
      <w:numFmt w:val="lowerLetter"/>
      <w:lvlText w:val="%5."/>
      <w:lvlJc w:val="left"/>
      <w:pPr>
        <w:tabs>
          <w:tab w:val="left" w:pos="3240"/>
        </w:tabs>
        <w:ind w:left="3240" w:hanging="360"/>
      </w:pPr>
    </w:lvl>
    <w:lvl w:ilvl="5" w:tplc="0409001B" w:tentative="1">
      <w:start w:val="1"/>
      <w:numFmt w:val="lowerRoman"/>
      <w:lvlText w:val="%6."/>
      <w:lvlJc w:val="right"/>
      <w:pPr>
        <w:tabs>
          <w:tab w:val="left" w:pos="3960"/>
        </w:tabs>
        <w:ind w:left="3960" w:hanging="180"/>
      </w:pPr>
    </w:lvl>
    <w:lvl w:ilvl="6" w:tplc="0409000F" w:tentative="1">
      <w:start w:val="1"/>
      <w:numFmt w:val="decimal"/>
      <w:lvlText w:val="%7."/>
      <w:lvlJc w:val="left"/>
      <w:pPr>
        <w:tabs>
          <w:tab w:val="left" w:pos="4680"/>
        </w:tabs>
        <w:ind w:left="4680" w:hanging="360"/>
      </w:pPr>
    </w:lvl>
    <w:lvl w:ilvl="7" w:tplc="04090019" w:tentative="1">
      <w:start w:val="1"/>
      <w:numFmt w:val="lowerLetter"/>
      <w:lvlText w:val="%8."/>
      <w:lvlJc w:val="left"/>
      <w:pPr>
        <w:tabs>
          <w:tab w:val="left" w:pos="5400"/>
        </w:tabs>
        <w:ind w:left="5400" w:hanging="360"/>
      </w:pPr>
    </w:lvl>
    <w:lvl w:ilvl="8" w:tplc="0409001B" w:tentative="1">
      <w:start w:val="1"/>
      <w:numFmt w:val="lowerRoman"/>
      <w:lvlText w:val="%9."/>
      <w:lvlJc w:val="right"/>
      <w:pPr>
        <w:tabs>
          <w:tab w:val="left" w:pos="6120"/>
        </w:tabs>
        <w:ind w:left="6120" w:hanging="180"/>
      </w:pPr>
    </w:lvl>
  </w:abstractNum>
  <w:abstractNum w:abstractNumId="3">
    <w:nsid w:val="00000004"/>
    <w:multiLevelType w:val="hybridMultilevel"/>
    <w:tmpl w:val="25B6FF6A"/>
    <w:lvl w:ilvl="0" w:tplc="04090001">
      <w:start w:val="1"/>
      <w:numFmt w:val="bullet"/>
      <w:lvlText w:val=""/>
      <w:lvlJc w:val="left"/>
      <w:pPr>
        <w:tabs>
          <w:tab w:val="left" w:pos="720"/>
        </w:tabs>
        <w:ind w:left="720" w:hanging="360"/>
      </w:pPr>
      <w:rPr>
        <w:rFonts w:ascii="Symbol" w:hAnsi="Symbol" w:hint="default"/>
      </w:rPr>
    </w:lvl>
    <w:lvl w:ilvl="1" w:tplc="04090003">
      <w:start w:val="1"/>
      <w:numFmt w:val="bullet"/>
      <w:lvlText w:val="o"/>
      <w:lvlJc w:val="left"/>
      <w:pPr>
        <w:tabs>
          <w:tab w:val="left" w:pos="1440"/>
        </w:tabs>
        <w:ind w:left="1440" w:hanging="360"/>
      </w:pPr>
      <w:rPr>
        <w:rFonts w:ascii="Courier New" w:hAnsi="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4">
    <w:nsid w:val="00000005"/>
    <w:multiLevelType w:val="hybridMultilevel"/>
    <w:tmpl w:val="D40C7484"/>
    <w:lvl w:ilvl="0" w:tplc="04090001">
      <w:start w:val="1"/>
      <w:numFmt w:val="bullet"/>
      <w:lvlText w:val=""/>
      <w:lvlJc w:val="left"/>
      <w:pPr>
        <w:tabs>
          <w:tab w:val="left" w:pos="720"/>
        </w:tabs>
        <w:ind w:left="720" w:hanging="360"/>
      </w:pPr>
      <w:rPr>
        <w:rFonts w:ascii="Symbol" w:hAnsi="Symbol" w:hint="default"/>
      </w:rPr>
    </w:lvl>
    <w:lvl w:ilvl="1" w:tplc="04090003" w:tentative="1">
      <w:start w:val="1"/>
      <w:numFmt w:val="bullet"/>
      <w:lvlText w:val="o"/>
      <w:lvlJc w:val="left"/>
      <w:pPr>
        <w:tabs>
          <w:tab w:val="left" w:pos="1440"/>
        </w:tabs>
        <w:ind w:left="1440" w:hanging="360"/>
      </w:pPr>
      <w:rPr>
        <w:rFonts w:ascii="Courier New" w:hAnsi="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abstractNum w:abstractNumId="5">
    <w:nsid w:val="00000006"/>
    <w:multiLevelType w:val="hybridMultilevel"/>
    <w:tmpl w:val="3EEA10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0000007"/>
    <w:multiLevelType w:val="hybridMultilevel"/>
    <w:tmpl w:val="791E0732"/>
    <w:lvl w:ilvl="0" w:tplc="04090011">
      <w:start w:val="1"/>
      <w:numFmt w:val="decimal"/>
      <w:lvlText w:val="%1)"/>
      <w:lvlJc w:val="left"/>
      <w:pPr>
        <w:tabs>
          <w:tab w:val="left" w:pos="1080"/>
        </w:tabs>
        <w:ind w:left="1080" w:hanging="360"/>
      </w:pPr>
      <w:rPr>
        <w:rFonts w:hint="default"/>
      </w:rPr>
    </w:lvl>
    <w:lvl w:ilvl="1" w:tplc="04090019" w:tentative="1">
      <w:start w:val="1"/>
      <w:numFmt w:val="lowerLetter"/>
      <w:lvlText w:val="%2."/>
      <w:lvlJc w:val="left"/>
      <w:pPr>
        <w:tabs>
          <w:tab w:val="left" w:pos="1080"/>
        </w:tabs>
        <w:ind w:left="1080" w:hanging="360"/>
      </w:pPr>
    </w:lvl>
    <w:lvl w:ilvl="2" w:tplc="0409001B" w:tentative="1">
      <w:start w:val="1"/>
      <w:numFmt w:val="lowerRoman"/>
      <w:lvlText w:val="%3."/>
      <w:lvlJc w:val="right"/>
      <w:pPr>
        <w:tabs>
          <w:tab w:val="left" w:pos="1800"/>
        </w:tabs>
        <w:ind w:left="1800" w:hanging="180"/>
      </w:pPr>
    </w:lvl>
    <w:lvl w:ilvl="3" w:tplc="0409000F" w:tentative="1">
      <w:start w:val="1"/>
      <w:numFmt w:val="decimal"/>
      <w:lvlText w:val="%4."/>
      <w:lvlJc w:val="left"/>
      <w:pPr>
        <w:tabs>
          <w:tab w:val="left" w:pos="2520"/>
        </w:tabs>
        <w:ind w:left="2520" w:hanging="360"/>
      </w:pPr>
    </w:lvl>
    <w:lvl w:ilvl="4" w:tplc="04090019" w:tentative="1">
      <w:start w:val="1"/>
      <w:numFmt w:val="lowerLetter"/>
      <w:lvlText w:val="%5."/>
      <w:lvlJc w:val="left"/>
      <w:pPr>
        <w:tabs>
          <w:tab w:val="left" w:pos="3240"/>
        </w:tabs>
        <w:ind w:left="3240" w:hanging="360"/>
      </w:pPr>
    </w:lvl>
    <w:lvl w:ilvl="5" w:tplc="0409001B" w:tentative="1">
      <w:start w:val="1"/>
      <w:numFmt w:val="lowerRoman"/>
      <w:lvlText w:val="%6."/>
      <w:lvlJc w:val="right"/>
      <w:pPr>
        <w:tabs>
          <w:tab w:val="left" w:pos="3960"/>
        </w:tabs>
        <w:ind w:left="3960" w:hanging="180"/>
      </w:pPr>
    </w:lvl>
    <w:lvl w:ilvl="6" w:tplc="0409000F" w:tentative="1">
      <w:start w:val="1"/>
      <w:numFmt w:val="decimal"/>
      <w:lvlText w:val="%7."/>
      <w:lvlJc w:val="left"/>
      <w:pPr>
        <w:tabs>
          <w:tab w:val="left" w:pos="4680"/>
        </w:tabs>
        <w:ind w:left="4680" w:hanging="360"/>
      </w:pPr>
    </w:lvl>
    <w:lvl w:ilvl="7" w:tplc="04090019" w:tentative="1">
      <w:start w:val="1"/>
      <w:numFmt w:val="lowerLetter"/>
      <w:lvlText w:val="%8."/>
      <w:lvlJc w:val="left"/>
      <w:pPr>
        <w:tabs>
          <w:tab w:val="left" w:pos="5400"/>
        </w:tabs>
        <w:ind w:left="5400" w:hanging="360"/>
      </w:pPr>
    </w:lvl>
    <w:lvl w:ilvl="8" w:tplc="0409001B" w:tentative="1">
      <w:start w:val="1"/>
      <w:numFmt w:val="lowerRoman"/>
      <w:lvlText w:val="%9."/>
      <w:lvlJc w:val="right"/>
      <w:pPr>
        <w:tabs>
          <w:tab w:val="left" w:pos="6120"/>
        </w:tabs>
        <w:ind w:left="6120" w:hanging="180"/>
      </w:pPr>
    </w:lvl>
  </w:abstractNum>
  <w:abstractNum w:abstractNumId="7">
    <w:nsid w:val="00000008"/>
    <w:multiLevelType w:val="multilevel"/>
    <w:tmpl w:val="94A27480"/>
    <w:lvl w:ilvl="0">
      <w:start w:val="1"/>
      <w:numFmt w:val="lowerLetter"/>
      <w:lvlText w:val="%1."/>
      <w:lvlJc w:val="left"/>
      <w:pPr>
        <w:tabs>
          <w:tab w:val="left" w:pos="1440"/>
        </w:tabs>
        <w:ind w:left="144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8">
    <w:nsid w:val="00000009"/>
    <w:multiLevelType w:val="multilevel"/>
    <w:tmpl w:val="2F38E5E4"/>
    <w:lvl w:ilvl="0">
      <w:start w:val="1"/>
      <w:numFmt w:val="bullet"/>
      <w:lvlText w:val=""/>
      <w:lvlJc w:val="left"/>
      <w:pPr>
        <w:tabs>
          <w:tab w:val="left" w:pos="720"/>
        </w:tabs>
        <w:ind w:left="720" w:hanging="360"/>
      </w:pPr>
      <w:rPr>
        <w:rFonts w:ascii="Symbol" w:hAnsi="Symbol"/>
        <w:sz w:val="22"/>
        <w:szCs w:val="24"/>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
    <w:nsid w:val="0000000A"/>
    <w:multiLevelType w:val="multilevel"/>
    <w:tmpl w:val="2F38E5E4"/>
    <w:lvl w:ilvl="0">
      <w:start w:val="1"/>
      <w:numFmt w:val="bullet"/>
      <w:lvlText w:val=""/>
      <w:lvlJc w:val="left"/>
      <w:pPr>
        <w:tabs>
          <w:tab w:val="left" w:pos="720"/>
        </w:tabs>
        <w:ind w:left="720" w:hanging="360"/>
      </w:pPr>
      <w:rPr>
        <w:rFonts w:ascii="Symbol" w:hAnsi="Symbol"/>
        <w:sz w:val="22"/>
        <w:szCs w:val="24"/>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0">
    <w:nsid w:val="5E424B39"/>
    <w:multiLevelType w:val="hybridMultilevel"/>
    <w:tmpl w:val="3288E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DB208E3"/>
    <w:multiLevelType w:val="hybridMultilevel"/>
    <w:tmpl w:val="2F38E5E4"/>
    <w:lvl w:ilvl="0" w:tplc="04090001">
      <w:start w:val="1"/>
      <w:numFmt w:val="bullet"/>
      <w:lvlText w:val=""/>
      <w:lvlJc w:val="left"/>
      <w:pPr>
        <w:tabs>
          <w:tab w:val="left" w:pos="720"/>
        </w:tabs>
        <w:ind w:left="720" w:hanging="360"/>
      </w:pPr>
      <w:rPr>
        <w:rFonts w:ascii="Symbol" w:hAnsi="Symbol" w:hint="default"/>
      </w:rPr>
    </w:lvl>
    <w:lvl w:ilvl="1" w:tplc="04090003" w:tentative="1">
      <w:start w:val="1"/>
      <w:numFmt w:val="bullet"/>
      <w:lvlText w:val="o"/>
      <w:lvlJc w:val="left"/>
      <w:pPr>
        <w:tabs>
          <w:tab w:val="left" w:pos="1440"/>
        </w:tabs>
        <w:ind w:left="1440" w:hanging="360"/>
      </w:pPr>
      <w:rPr>
        <w:rFonts w:ascii="Courier New" w:hAnsi="Courier New" w:hint="default"/>
      </w:rPr>
    </w:lvl>
    <w:lvl w:ilvl="2" w:tplc="04090005" w:tentative="1">
      <w:start w:val="1"/>
      <w:numFmt w:val="bullet"/>
      <w:lvlText w:val=""/>
      <w:lvlJc w:val="left"/>
      <w:pPr>
        <w:tabs>
          <w:tab w:val="left" w:pos="2160"/>
        </w:tabs>
        <w:ind w:left="2160" w:hanging="360"/>
      </w:pPr>
      <w:rPr>
        <w:rFonts w:ascii="Wingdings" w:hAnsi="Wingdings" w:hint="default"/>
      </w:rPr>
    </w:lvl>
    <w:lvl w:ilvl="3" w:tplc="04090001" w:tentative="1">
      <w:start w:val="1"/>
      <w:numFmt w:val="bullet"/>
      <w:lvlText w:val=""/>
      <w:lvlJc w:val="left"/>
      <w:pPr>
        <w:tabs>
          <w:tab w:val="left" w:pos="2880"/>
        </w:tabs>
        <w:ind w:left="2880" w:hanging="360"/>
      </w:pPr>
      <w:rPr>
        <w:rFonts w:ascii="Symbol" w:hAnsi="Symbol" w:hint="default"/>
      </w:rPr>
    </w:lvl>
    <w:lvl w:ilvl="4" w:tplc="04090003" w:tentative="1">
      <w:start w:val="1"/>
      <w:numFmt w:val="bullet"/>
      <w:lvlText w:val="o"/>
      <w:lvlJc w:val="left"/>
      <w:pPr>
        <w:tabs>
          <w:tab w:val="left" w:pos="3600"/>
        </w:tabs>
        <w:ind w:left="3600" w:hanging="360"/>
      </w:pPr>
      <w:rPr>
        <w:rFonts w:ascii="Courier New" w:hAnsi="Courier New" w:hint="default"/>
      </w:rPr>
    </w:lvl>
    <w:lvl w:ilvl="5" w:tplc="04090005" w:tentative="1">
      <w:start w:val="1"/>
      <w:numFmt w:val="bullet"/>
      <w:lvlText w:val=""/>
      <w:lvlJc w:val="left"/>
      <w:pPr>
        <w:tabs>
          <w:tab w:val="left" w:pos="4320"/>
        </w:tabs>
        <w:ind w:left="4320" w:hanging="360"/>
      </w:pPr>
      <w:rPr>
        <w:rFonts w:ascii="Wingdings" w:hAnsi="Wingdings" w:hint="default"/>
      </w:rPr>
    </w:lvl>
    <w:lvl w:ilvl="6" w:tplc="04090001" w:tentative="1">
      <w:start w:val="1"/>
      <w:numFmt w:val="bullet"/>
      <w:lvlText w:val=""/>
      <w:lvlJc w:val="left"/>
      <w:pPr>
        <w:tabs>
          <w:tab w:val="left" w:pos="5040"/>
        </w:tabs>
        <w:ind w:left="5040" w:hanging="360"/>
      </w:pPr>
      <w:rPr>
        <w:rFonts w:ascii="Symbol" w:hAnsi="Symbol" w:hint="default"/>
      </w:rPr>
    </w:lvl>
    <w:lvl w:ilvl="7" w:tplc="04090003" w:tentative="1">
      <w:start w:val="1"/>
      <w:numFmt w:val="bullet"/>
      <w:lvlText w:val="o"/>
      <w:lvlJc w:val="left"/>
      <w:pPr>
        <w:tabs>
          <w:tab w:val="left" w:pos="5760"/>
        </w:tabs>
        <w:ind w:left="5760" w:hanging="360"/>
      </w:pPr>
      <w:rPr>
        <w:rFonts w:ascii="Courier New" w:hAnsi="Courier New" w:hint="default"/>
      </w:rPr>
    </w:lvl>
    <w:lvl w:ilvl="8" w:tplc="04090005" w:tentative="1">
      <w:start w:val="1"/>
      <w:numFmt w:val="bullet"/>
      <w:lvlText w:val=""/>
      <w:lvlJc w:val="left"/>
      <w:pPr>
        <w:tabs>
          <w:tab w:val="left" w:pos="6480"/>
        </w:tabs>
        <w:ind w:left="6480" w:hanging="360"/>
      </w:pPr>
      <w:rPr>
        <w:rFonts w:ascii="Wingdings" w:hAnsi="Wingdings" w:hint="default"/>
      </w:rPr>
    </w:lvl>
  </w:abstractNum>
  <w:num w:numId="1">
    <w:abstractNumId w:val="1"/>
  </w:num>
  <w:num w:numId="2">
    <w:abstractNumId w:val="5"/>
  </w:num>
  <w:num w:numId="3">
    <w:abstractNumId w:val="2"/>
  </w:num>
  <w:num w:numId="4">
    <w:abstractNumId w:val="8"/>
  </w:num>
  <w:num w:numId="5">
    <w:abstractNumId w:val="3"/>
  </w:num>
  <w:num w:numId="6">
    <w:abstractNumId w:val="9"/>
  </w:num>
  <w:num w:numId="7">
    <w:abstractNumId w:val="0"/>
  </w:num>
  <w:num w:numId="8">
    <w:abstractNumId w:val="4"/>
  </w:num>
  <w:num w:numId="9">
    <w:abstractNumId w:val="7"/>
  </w:num>
  <w:num w:numId="10">
    <w:abstractNumId w:val="6"/>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0FE"/>
    <w:rsid w:val="0000726C"/>
    <w:rsid w:val="00030697"/>
    <w:rsid w:val="00040BA4"/>
    <w:rsid w:val="00040EE8"/>
    <w:rsid w:val="00045CD7"/>
    <w:rsid w:val="0005663D"/>
    <w:rsid w:val="00097334"/>
    <w:rsid w:val="000A2E75"/>
    <w:rsid w:val="000D49D5"/>
    <w:rsid w:val="000F5C27"/>
    <w:rsid w:val="00145DB8"/>
    <w:rsid w:val="001709A2"/>
    <w:rsid w:val="00172FCF"/>
    <w:rsid w:val="0017639D"/>
    <w:rsid w:val="0018629D"/>
    <w:rsid w:val="00192F9D"/>
    <w:rsid w:val="00197065"/>
    <w:rsid w:val="001C3FCC"/>
    <w:rsid w:val="001C5431"/>
    <w:rsid w:val="001D1327"/>
    <w:rsid w:val="001E5497"/>
    <w:rsid w:val="00252079"/>
    <w:rsid w:val="00263BE8"/>
    <w:rsid w:val="00275FD8"/>
    <w:rsid w:val="00290CC5"/>
    <w:rsid w:val="002B2887"/>
    <w:rsid w:val="002C23D6"/>
    <w:rsid w:val="002C2C65"/>
    <w:rsid w:val="002E6227"/>
    <w:rsid w:val="002E7FAE"/>
    <w:rsid w:val="00303582"/>
    <w:rsid w:val="00305862"/>
    <w:rsid w:val="00310F5D"/>
    <w:rsid w:val="00313EFA"/>
    <w:rsid w:val="003250A3"/>
    <w:rsid w:val="00352704"/>
    <w:rsid w:val="00354002"/>
    <w:rsid w:val="00356E34"/>
    <w:rsid w:val="003823FC"/>
    <w:rsid w:val="003950AB"/>
    <w:rsid w:val="0039733C"/>
    <w:rsid w:val="003B3789"/>
    <w:rsid w:val="003C1B44"/>
    <w:rsid w:val="003D250C"/>
    <w:rsid w:val="003E3237"/>
    <w:rsid w:val="003F2B5E"/>
    <w:rsid w:val="00402986"/>
    <w:rsid w:val="00416985"/>
    <w:rsid w:val="00420957"/>
    <w:rsid w:val="00452974"/>
    <w:rsid w:val="004967B9"/>
    <w:rsid w:val="004A6128"/>
    <w:rsid w:val="004D0796"/>
    <w:rsid w:val="004E4625"/>
    <w:rsid w:val="004F2AE7"/>
    <w:rsid w:val="004F52DB"/>
    <w:rsid w:val="00545AE6"/>
    <w:rsid w:val="0055221A"/>
    <w:rsid w:val="00554F99"/>
    <w:rsid w:val="005813AE"/>
    <w:rsid w:val="005D6AB6"/>
    <w:rsid w:val="005E30E3"/>
    <w:rsid w:val="005F4A31"/>
    <w:rsid w:val="00601DE4"/>
    <w:rsid w:val="00611996"/>
    <w:rsid w:val="00623E2B"/>
    <w:rsid w:val="006373B3"/>
    <w:rsid w:val="00655604"/>
    <w:rsid w:val="00661CB0"/>
    <w:rsid w:val="006722FB"/>
    <w:rsid w:val="0068098A"/>
    <w:rsid w:val="00693483"/>
    <w:rsid w:val="006A3980"/>
    <w:rsid w:val="006B34EB"/>
    <w:rsid w:val="006B7D23"/>
    <w:rsid w:val="006D50FE"/>
    <w:rsid w:val="006F0A44"/>
    <w:rsid w:val="006F55A2"/>
    <w:rsid w:val="006F5B0B"/>
    <w:rsid w:val="00703C87"/>
    <w:rsid w:val="007317BE"/>
    <w:rsid w:val="00764BB4"/>
    <w:rsid w:val="00777554"/>
    <w:rsid w:val="00791976"/>
    <w:rsid w:val="00796AAB"/>
    <w:rsid w:val="007C0786"/>
    <w:rsid w:val="007D173B"/>
    <w:rsid w:val="007E0CBD"/>
    <w:rsid w:val="008136CB"/>
    <w:rsid w:val="008142D9"/>
    <w:rsid w:val="008271C3"/>
    <w:rsid w:val="00830BDE"/>
    <w:rsid w:val="00857059"/>
    <w:rsid w:val="008A1D1B"/>
    <w:rsid w:val="008B5C2D"/>
    <w:rsid w:val="008D6FBA"/>
    <w:rsid w:val="008E1301"/>
    <w:rsid w:val="008F3D0E"/>
    <w:rsid w:val="009146E6"/>
    <w:rsid w:val="00914ABB"/>
    <w:rsid w:val="00915616"/>
    <w:rsid w:val="0091586B"/>
    <w:rsid w:val="009407F2"/>
    <w:rsid w:val="00943FDF"/>
    <w:rsid w:val="00951573"/>
    <w:rsid w:val="0095628F"/>
    <w:rsid w:val="00961897"/>
    <w:rsid w:val="00962724"/>
    <w:rsid w:val="00965377"/>
    <w:rsid w:val="009669D2"/>
    <w:rsid w:val="00966C85"/>
    <w:rsid w:val="00975A9D"/>
    <w:rsid w:val="009E164D"/>
    <w:rsid w:val="009F4B56"/>
    <w:rsid w:val="009F54CA"/>
    <w:rsid w:val="00A17FE2"/>
    <w:rsid w:val="00A3723A"/>
    <w:rsid w:val="00A979E2"/>
    <w:rsid w:val="00AA72AF"/>
    <w:rsid w:val="00AB5FD4"/>
    <w:rsid w:val="00AD33CF"/>
    <w:rsid w:val="00AD72EF"/>
    <w:rsid w:val="00B01B27"/>
    <w:rsid w:val="00B04D7B"/>
    <w:rsid w:val="00B066CB"/>
    <w:rsid w:val="00B16481"/>
    <w:rsid w:val="00B60272"/>
    <w:rsid w:val="00B6122A"/>
    <w:rsid w:val="00B63642"/>
    <w:rsid w:val="00B7469E"/>
    <w:rsid w:val="00B90DDD"/>
    <w:rsid w:val="00B92635"/>
    <w:rsid w:val="00B96150"/>
    <w:rsid w:val="00BB4D05"/>
    <w:rsid w:val="00BB60C9"/>
    <w:rsid w:val="00BB774A"/>
    <w:rsid w:val="00C20501"/>
    <w:rsid w:val="00C32E3A"/>
    <w:rsid w:val="00C43FB5"/>
    <w:rsid w:val="00C5009F"/>
    <w:rsid w:val="00C5738B"/>
    <w:rsid w:val="00C66DF8"/>
    <w:rsid w:val="00CC0EB1"/>
    <w:rsid w:val="00CE03E2"/>
    <w:rsid w:val="00D870C4"/>
    <w:rsid w:val="00D962A2"/>
    <w:rsid w:val="00DA2FEE"/>
    <w:rsid w:val="00DF50E1"/>
    <w:rsid w:val="00E04288"/>
    <w:rsid w:val="00E16788"/>
    <w:rsid w:val="00E21107"/>
    <w:rsid w:val="00E56ACD"/>
    <w:rsid w:val="00E72DEB"/>
    <w:rsid w:val="00E91274"/>
    <w:rsid w:val="00EF2472"/>
    <w:rsid w:val="00F03F84"/>
    <w:rsid w:val="00F22545"/>
    <w:rsid w:val="00F3289E"/>
    <w:rsid w:val="00F561C5"/>
    <w:rsid w:val="00F57B1A"/>
    <w:rsid w:val="00F66AF7"/>
    <w:rsid w:val="00F67803"/>
    <w:rsid w:val="00F940CD"/>
    <w:rsid w:val="00F9587B"/>
    <w:rsid w:val="00FE472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FDF"/>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943FDF"/>
    <w:pPr>
      <w:keepNext/>
      <w:keepLines/>
      <w:pBdr>
        <w:bottom w:val="single" w:sz="4" w:space="1" w:color="auto"/>
      </w:pBdr>
      <w:tabs>
        <w:tab w:val="left" w:pos="2880"/>
      </w:tabs>
      <w:suppressAutoHyphens/>
      <w:contextualSpacing/>
      <w:outlineLvl w:val="0"/>
    </w:pPr>
    <w:rPr>
      <w:rFonts w:cs="Arial"/>
      <w:b/>
      <w:bCs/>
      <w:smallCaps/>
      <w:kern w:val="32"/>
      <w:sz w:val="28"/>
      <w:szCs w:val="36"/>
    </w:rPr>
  </w:style>
  <w:style w:type="paragraph" w:styleId="Heading2">
    <w:name w:val="heading 2"/>
    <w:basedOn w:val="Normal"/>
    <w:next w:val="Normal"/>
    <w:link w:val="Heading2Char"/>
    <w:qFormat/>
    <w:rsid w:val="00943FDF"/>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943FDF"/>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943FDF"/>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pPr>
      <w:tabs>
        <w:tab w:val="right" w:pos="8640"/>
      </w:tabs>
    </w:pPr>
    <w:rPr>
      <w:rFonts w:ascii="Arial" w:hAnsi="Arial"/>
      <w:sz w:val="20"/>
    </w:rPr>
  </w:style>
  <w:style w:type="paragraph" w:styleId="Footer">
    <w:name w:val="footer"/>
    <w:basedOn w:val="Normal"/>
    <w:link w:val="FooterChar"/>
    <w:uiPriority w:val="99"/>
    <w:pPr>
      <w:tabs>
        <w:tab w:val="right" w:pos="8640"/>
      </w:tabs>
      <w:spacing w:after="0"/>
    </w:pPr>
    <w:rPr>
      <w:rFonts w:ascii="Arial" w:hAnsi="Arial"/>
      <w:sz w:val="20"/>
    </w:rPr>
  </w:style>
  <w:style w:type="character" w:styleId="PageNumber">
    <w:name w:val="page number"/>
    <w:basedOn w:val="DefaultParagraphFont"/>
  </w:style>
  <w:style w:type="paragraph" w:customStyle="1" w:styleId="References">
    <w:name w:val="References"/>
    <w:basedOn w:val="Normal"/>
    <w:link w:val="ReferencesChar"/>
    <w:qFormat/>
    <w:rsid w:val="00943FDF"/>
    <w:pPr>
      <w:ind w:left="360" w:hanging="360"/>
    </w:pPr>
    <w:rPr>
      <w:sz w:val="20"/>
    </w:rPr>
  </w:style>
  <w:style w:type="paragraph" w:styleId="BalloonText">
    <w:name w:val="Balloon Text"/>
    <w:basedOn w:val="Normal"/>
    <w:rPr>
      <w:rFonts w:ascii="Tahoma" w:hAnsi="Tahoma" w:cs="Tahoma"/>
      <w:sz w:val="16"/>
      <w:szCs w:val="16"/>
    </w:rPr>
  </w:style>
  <w:style w:type="character" w:styleId="Strong">
    <w:name w:val="Strong"/>
    <w:basedOn w:val="DefaultParagraphFont"/>
    <w:qFormat/>
    <w:rsid w:val="00943FDF"/>
    <w:rPr>
      <w:b/>
      <w:bCs/>
    </w:rPr>
  </w:style>
  <w:style w:type="character" w:customStyle="1" w:styleId="Heading1Char">
    <w:name w:val="Heading 1 Char"/>
    <w:basedOn w:val="DefaultParagraphFont"/>
    <w:link w:val="Heading1"/>
    <w:rsid w:val="00943FDF"/>
    <w:rPr>
      <w:rFonts w:ascii="Garamond" w:hAnsi="Garamond" w:cs="Arial"/>
      <w:b/>
      <w:bCs/>
      <w:smallCaps/>
      <w:kern w:val="32"/>
      <w:sz w:val="28"/>
      <w:szCs w:val="36"/>
      <w14:ligatures w14:val="all"/>
      <w14:stylisticSets>
        <w14:styleSet w14:id="5"/>
      </w14:stylisticSets>
      <w14:cntxtAlts/>
    </w:rPr>
  </w:style>
  <w:style w:type="paragraph" w:styleId="NormalWeb">
    <w:name w:val="Normal (Web)"/>
    <w:basedOn w:val="Normal"/>
    <w:uiPriority w:val="99"/>
    <w:pPr>
      <w:spacing w:before="100" w:beforeAutospacing="1" w:after="100" w:afterAutospacing="1"/>
      <w:jc w:val="both"/>
    </w:pPr>
    <w:rPr>
      <w:rFonts w:eastAsia="SimSun"/>
      <w:sz w:val="24"/>
      <w:szCs w:val="22"/>
    </w:r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pPr>
      <w:jc w:val="both"/>
    </w:pPr>
    <w:rPr>
      <w:szCs w:val="20"/>
      <w:lang w:eastAsia="he-IL"/>
    </w:rPr>
  </w:style>
  <w:style w:type="character" w:customStyle="1" w:styleId="CommentTextChar">
    <w:name w:val="Comment Text Char"/>
    <w:basedOn w:val="DefaultParagraphFont"/>
    <w:link w:val="CommentText"/>
    <w:uiPriority w:val="99"/>
    <w:rPr>
      <w:sz w:val="22"/>
      <w:lang w:eastAsia="he-IL"/>
    </w:rPr>
  </w:style>
  <w:style w:type="paragraph" w:customStyle="1" w:styleId="a">
    <w:name w:val="רגיל"/>
    <w:basedOn w:val="Normal"/>
    <w:link w:val="Char"/>
    <w:qFormat/>
    <w:pPr>
      <w:jc w:val="both"/>
    </w:pPr>
    <w:rPr>
      <w:rFonts w:ascii="Calibri" w:eastAsia="SimSun" w:hAnsi="Calibri" w:cs="Arial"/>
      <w:sz w:val="24"/>
      <w:szCs w:val="22"/>
      <w:lang w:bidi="en-US"/>
    </w:rPr>
  </w:style>
  <w:style w:type="character" w:customStyle="1" w:styleId="Char">
    <w:name w:val="רגיל Char"/>
    <w:basedOn w:val="DefaultParagraphFont"/>
    <w:link w:val="a"/>
    <w:rPr>
      <w:rFonts w:ascii="Calibri" w:eastAsia="SimSun" w:hAnsi="Calibri" w:cs="Arial"/>
      <w:sz w:val="24"/>
      <w:szCs w:val="22"/>
      <w:lang w:bidi="en-US"/>
    </w:rPr>
  </w:style>
  <w:style w:type="character" w:customStyle="1" w:styleId="apple-converted-space">
    <w:name w:val="apple-converted-space"/>
    <w:basedOn w:val="DefaultParagraphFont"/>
  </w:style>
  <w:style w:type="table" w:styleId="LightShading">
    <w:name w:val="Light Shading"/>
    <w:basedOn w:val="TableNormal"/>
    <w:uiPriority w:val="60"/>
    <w:pPr>
      <w:jc w:val="both"/>
    </w:pPr>
    <w:rPr>
      <w:rFonts w:ascii="Calibri" w:eastAsia="Calibri" w:hAnsi="Calibri" w:cs="Arial"/>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FooterChar">
    <w:name w:val="Footer Char"/>
    <w:basedOn w:val="DefaultParagraphFont"/>
    <w:link w:val="Footer"/>
    <w:uiPriority w:val="99"/>
    <w:rPr>
      <w:rFonts w:ascii="Arial" w:hAnsi="Arial"/>
      <w:szCs w:val="24"/>
      <w:lang w:bidi="ar-SA"/>
    </w:rPr>
  </w:style>
  <w:style w:type="paragraph" w:customStyle="1" w:styleId="Tavla">
    <w:name w:val="Tavla"/>
    <w:basedOn w:val="Normal"/>
    <w:link w:val="TavlaChar1"/>
    <w:qFormat/>
    <w:pPr>
      <w:ind w:left="1276" w:hanging="466"/>
      <w:jc w:val="both"/>
    </w:pPr>
    <w:rPr>
      <w:rFonts w:eastAsia="Calibri"/>
      <w:b/>
      <w:bCs/>
      <w:sz w:val="24"/>
      <w:szCs w:val="22"/>
    </w:rPr>
  </w:style>
  <w:style w:type="character" w:customStyle="1" w:styleId="TavlaChar1">
    <w:name w:val="Tavla Char1"/>
    <w:basedOn w:val="DefaultParagraphFont"/>
    <w:link w:val="Tavla"/>
    <w:rPr>
      <w:rFonts w:eastAsia="Calibri"/>
      <w:b/>
      <w:bCs/>
      <w:sz w:val="24"/>
      <w:szCs w:val="22"/>
    </w:rPr>
  </w:style>
  <w:style w:type="character" w:styleId="Emphasis">
    <w:name w:val="Emphasis"/>
    <w:basedOn w:val="DefaultParagraphFont"/>
    <w:uiPriority w:val="20"/>
    <w:qFormat/>
    <w:rPr>
      <w:i/>
      <w:iCs/>
    </w:rPr>
  </w:style>
  <w:style w:type="table" w:customStyle="1" w:styleId="TableGrid1">
    <w:name w:val="Table Grid1"/>
    <w:basedOn w:val="TableNormal"/>
    <w:next w:val="TableGrid"/>
    <w:uiPriority w:val="59"/>
    <w:pPr>
      <w:jc w:val="both"/>
    </w:pPr>
    <w:rPr>
      <w:rFonts w:ascii="Calibri" w:eastAsia="Calibri" w:hAnsi="Calibri" w:cs="Arial"/>
      <w:sz w:val="22"/>
      <w:szCs w:val="22"/>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Pr>
      <w:rFonts w:ascii="Arial" w:hAnsi="Arial"/>
      <w:szCs w:val="24"/>
      <w:lang w:bidi="ar-SA"/>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3FDF"/>
    <w:pPr>
      <w:ind w:left="720"/>
      <w:contextualSpacing/>
    </w:pPr>
  </w:style>
  <w:style w:type="paragraph" w:styleId="CommentSubject">
    <w:name w:val="annotation subject"/>
    <w:basedOn w:val="CommentText"/>
    <w:next w:val="CommentText"/>
    <w:link w:val="CommentSubjectChar"/>
    <w:uiPriority w:val="99"/>
    <w:pPr>
      <w:jc w:val="left"/>
    </w:pPr>
    <w:rPr>
      <w:b/>
      <w:bCs/>
      <w:sz w:val="20"/>
      <w:lang w:eastAsia="en-US" w:bidi="ar-SA"/>
    </w:rPr>
  </w:style>
  <w:style w:type="character" w:customStyle="1" w:styleId="CommentSubjectChar">
    <w:name w:val="Comment Subject Char"/>
    <w:basedOn w:val="CommentTextChar"/>
    <w:link w:val="CommentSubject"/>
    <w:uiPriority w:val="99"/>
    <w:rPr>
      <w:b/>
      <w:bCs/>
      <w:sz w:val="22"/>
      <w:lang w:eastAsia="he-IL" w:bidi="ar-SA"/>
    </w:rPr>
  </w:style>
  <w:style w:type="character" w:customStyle="1" w:styleId="highlight">
    <w:name w:val="highlight"/>
    <w:basedOn w:val="DefaultParagraphFont"/>
    <w:rsid w:val="006B34EB"/>
  </w:style>
  <w:style w:type="paragraph" w:customStyle="1" w:styleId="PaperInfo">
    <w:name w:val="Paper_Info"/>
    <w:basedOn w:val="Normal"/>
    <w:link w:val="PaperInfoChar"/>
    <w:qFormat/>
    <w:rsid w:val="00943FDF"/>
    <w:pPr>
      <w:tabs>
        <w:tab w:val="left" w:pos="2880"/>
      </w:tabs>
      <w:spacing w:after="60"/>
    </w:pPr>
  </w:style>
  <w:style w:type="character" w:customStyle="1" w:styleId="PaperInfoChar">
    <w:name w:val="Paper_Info Char"/>
    <w:basedOn w:val="DefaultParagraphFont"/>
    <w:link w:val="PaperInfo"/>
    <w:rsid w:val="00943FDF"/>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943FDF"/>
    <w:pPr>
      <w:spacing w:after="0"/>
    </w:pPr>
    <w:rPr>
      <w:color w:val="595959" w:themeColor="text1" w:themeTint="A6"/>
      <w:sz w:val="36"/>
    </w:rPr>
  </w:style>
  <w:style w:type="character" w:customStyle="1" w:styleId="AbstractChar">
    <w:name w:val="Abstract Char"/>
    <w:basedOn w:val="Heading1Char"/>
    <w:link w:val="Abstract"/>
    <w:rsid w:val="00943FDF"/>
    <w:rPr>
      <w:rFonts w:ascii="Garamond"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943FDF"/>
    <w:pPr>
      <w:jc w:val="center"/>
    </w:pPr>
    <w:rPr>
      <w:sz w:val="36"/>
    </w:rPr>
  </w:style>
  <w:style w:type="character" w:customStyle="1" w:styleId="PaperTitleChar">
    <w:name w:val="Paper Title Char"/>
    <w:basedOn w:val="Heading1Char"/>
    <w:link w:val="PaperTitle"/>
    <w:rsid w:val="00943FDF"/>
    <w:rPr>
      <w:rFonts w:ascii="Garamond" w:hAnsi="Garamond" w:cs="Arial"/>
      <w:b/>
      <w:bCs/>
      <w:smallCaps/>
      <w:kern w:val="32"/>
      <w:sz w:val="36"/>
      <w:szCs w:val="36"/>
      <w14:ligatures w14:val="all"/>
      <w14:stylisticSets>
        <w14:styleSet w14:id="5"/>
      </w14:stylisticSets>
      <w14:cntxtAlts/>
    </w:rPr>
  </w:style>
  <w:style w:type="character" w:customStyle="1" w:styleId="Heading2Char">
    <w:name w:val="Heading 2 Char"/>
    <w:basedOn w:val="DefaultParagraphFont"/>
    <w:link w:val="Heading2"/>
    <w:rsid w:val="00943FDF"/>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943FDF"/>
    <w:rPr>
      <w:rFonts w:ascii="Garamond" w:hAnsi="Garamond"/>
      <w:kern w:val="20"/>
      <w:szCs w:val="24"/>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FDF"/>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943FDF"/>
    <w:pPr>
      <w:keepNext/>
      <w:keepLines/>
      <w:pBdr>
        <w:bottom w:val="single" w:sz="4" w:space="1" w:color="auto"/>
      </w:pBdr>
      <w:tabs>
        <w:tab w:val="left" w:pos="2880"/>
      </w:tabs>
      <w:suppressAutoHyphens/>
      <w:contextualSpacing/>
      <w:outlineLvl w:val="0"/>
    </w:pPr>
    <w:rPr>
      <w:rFonts w:cs="Arial"/>
      <w:b/>
      <w:bCs/>
      <w:smallCaps/>
      <w:kern w:val="32"/>
      <w:sz w:val="28"/>
      <w:szCs w:val="36"/>
    </w:rPr>
  </w:style>
  <w:style w:type="paragraph" w:styleId="Heading2">
    <w:name w:val="heading 2"/>
    <w:basedOn w:val="Normal"/>
    <w:next w:val="Normal"/>
    <w:link w:val="Heading2Char"/>
    <w:qFormat/>
    <w:rsid w:val="00943FDF"/>
    <w:pPr>
      <w:keepNext/>
      <w:keepLines/>
      <w:suppressAutoHyphens/>
      <w:spacing w:before="240" w:after="60"/>
      <w:outlineLvl w:val="1"/>
    </w:pPr>
    <w:rPr>
      <w:rFonts w:cs="Arial"/>
      <w:b/>
      <w:bCs/>
      <w:i/>
      <w:iCs/>
      <w:smallCaps/>
      <w:sz w:val="24"/>
      <w:szCs w:val="28"/>
    </w:rPr>
  </w:style>
  <w:style w:type="paragraph" w:styleId="Heading3">
    <w:name w:val="heading 3"/>
    <w:basedOn w:val="Normal"/>
    <w:next w:val="Normal"/>
    <w:qFormat/>
    <w:rsid w:val="00943FDF"/>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943FDF"/>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link w:val="HeaderChar"/>
    <w:uiPriority w:val="99"/>
    <w:pPr>
      <w:tabs>
        <w:tab w:val="right" w:pos="8640"/>
      </w:tabs>
    </w:pPr>
    <w:rPr>
      <w:rFonts w:ascii="Arial" w:hAnsi="Arial"/>
      <w:sz w:val="20"/>
    </w:rPr>
  </w:style>
  <w:style w:type="paragraph" w:styleId="Footer">
    <w:name w:val="footer"/>
    <w:basedOn w:val="Normal"/>
    <w:link w:val="FooterChar"/>
    <w:uiPriority w:val="99"/>
    <w:pPr>
      <w:tabs>
        <w:tab w:val="right" w:pos="8640"/>
      </w:tabs>
      <w:spacing w:after="0"/>
    </w:pPr>
    <w:rPr>
      <w:rFonts w:ascii="Arial" w:hAnsi="Arial"/>
      <w:sz w:val="20"/>
    </w:rPr>
  </w:style>
  <w:style w:type="character" w:styleId="PageNumber">
    <w:name w:val="page number"/>
    <w:basedOn w:val="DefaultParagraphFont"/>
  </w:style>
  <w:style w:type="paragraph" w:customStyle="1" w:styleId="References">
    <w:name w:val="References"/>
    <w:basedOn w:val="Normal"/>
    <w:link w:val="ReferencesChar"/>
    <w:qFormat/>
    <w:rsid w:val="00943FDF"/>
    <w:pPr>
      <w:ind w:left="360" w:hanging="360"/>
    </w:pPr>
    <w:rPr>
      <w:sz w:val="20"/>
    </w:rPr>
  </w:style>
  <w:style w:type="paragraph" w:styleId="BalloonText">
    <w:name w:val="Balloon Text"/>
    <w:basedOn w:val="Normal"/>
    <w:rPr>
      <w:rFonts w:ascii="Tahoma" w:hAnsi="Tahoma" w:cs="Tahoma"/>
      <w:sz w:val="16"/>
      <w:szCs w:val="16"/>
    </w:rPr>
  </w:style>
  <w:style w:type="character" w:styleId="Strong">
    <w:name w:val="Strong"/>
    <w:basedOn w:val="DefaultParagraphFont"/>
    <w:qFormat/>
    <w:rsid w:val="00943FDF"/>
    <w:rPr>
      <w:b/>
      <w:bCs/>
    </w:rPr>
  </w:style>
  <w:style w:type="character" w:customStyle="1" w:styleId="Heading1Char">
    <w:name w:val="Heading 1 Char"/>
    <w:basedOn w:val="DefaultParagraphFont"/>
    <w:link w:val="Heading1"/>
    <w:rsid w:val="00943FDF"/>
    <w:rPr>
      <w:rFonts w:ascii="Garamond" w:hAnsi="Garamond" w:cs="Arial"/>
      <w:b/>
      <w:bCs/>
      <w:smallCaps/>
      <w:kern w:val="32"/>
      <w:sz w:val="28"/>
      <w:szCs w:val="36"/>
      <w14:ligatures w14:val="all"/>
      <w14:stylisticSets>
        <w14:styleSet w14:id="5"/>
      </w14:stylisticSets>
      <w14:cntxtAlts/>
    </w:rPr>
  </w:style>
  <w:style w:type="paragraph" w:styleId="NormalWeb">
    <w:name w:val="Normal (Web)"/>
    <w:basedOn w:val="Normal"/>
    <w:uiPriority w:val="99"/>
    <w:pPr>
      <w:spacing w:before="100" w:beforeAutospacing="1" w:after="100" w:afterAutospacing="1"/>
      <w:jc w:val="both"/>
    </w:pPr>
    <w:rPr>
      <w:rFonts w:eastAsia="SimSun"/>
      <w:sz w:val="24"/>
      <w:szCs w:val="22"/>
    </w:r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pPr>
      <w:jc w:val="both"/>
    </w:pPr>
    <w:rPr>
      <w:szCs w:val="20"/>
      <w:lang w:eastAsia="he-IL"/>
    </w:rPr>
  </w:style>
  <w:style w:type="character" w:customStyle="1" w:styleId="CommentTextChar">
    <w:name w:val="Comment Text Char"/>
    <w:basedOn w:val="DefaultParagraphFont"/>
    <w:link w:val="CommentText"/>
    <w:uiPriority w:val="99"/>
    <w:rPr>
      <w:sz w:val="22"/>
      <w:lang w:eastAsia="he-IL"/>
    </w:rPr>
  </w:style>
  <w:style w:type="paragraph" w:customStyle="1" w:styleId="a">
    <w:name w:val="רגיל"/>
    <w:basedOn w:val="Normal"/>
    <w:link w:val="Char"/>
    <w:qFormat/>
    <w:pPr>
      <w:jc w:val="both"/>
    </w:pPr>
    <w:rPr>
      <w:rFonts w:ascii="Calibri" w:eastAsia="SimSun" w:hAnsi="Calibri" w:cs="Arial"/>
      <w:sz w:val="24"/>
      <w:szCs w:val="22"/>
      <w:lang w:bidi="en-US"/>
    </w:rPr>
  </w:style>
  <w:style w:type="character" w:customStyle="1" w:styleId="Char">
    <w:name w:val="רגיל Char"/>
    <w:basedOn w:val="DefaultParagraphFont"/>
    <w:link w:val="a"/>
    <w:rPr>
      <w:rFonts w:ascii="Calibri" w:eastAsia="SimSun" w:hAnsi="Calibri" w:cs="Arial"/>
      <w:sz w:val="24"/>
      <w:szCs w:val="22"/>
      <w:lang w:bidi="en-US"/>
    </w:rPr>
  </w:style>
  <w:style w:type="character" w:customStyle="1" w:styleId="apple-converted-space">
    <w:name w:val="apple-converted-space"/>
    <w:basedOn w:val="DefaultParagraphFont"/>
  </w:style>
  <w:style w:type="table" w:styleId="LightShading">
    <w:name w:val="Light Shading"/>
    <w:basedOn w:val="TableNormal"/>
    <w:uiPriority w:val="60"/>
    <w:pPr>
      <w:jc w:val="both"/>
    </w:pPr>
    <w:rPr>
      <w:rFonts w:ascii="Calibri" w:eastAsia="Calibri" w:hAnsi="Calibri" w:cs="Arial"/>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FooterChar">
    <w:name w:val="Footer Char"/>
    <w:basedOn w:val="DefaultParagraphFont"/>
    <w:link w:val="Footer"/>
    <w:uiPriority w:val="99"/>
    <w:rPr>
      <w:rFonts w:ascii="Arial" w:hAnsi="Arial"/>
      <w:szCs w:val="24"/>
      <w:lang w:bidi="ar-SA"/>
    </w:rPr>
  </w:style>
  <w:style w:type="paragraph" w:customStyle="1" w:styleId="Tavla">
    <w:name w:val="Tavla"/>
    <w:basedOn w:val="Normal"/>
    <w:link w:val="TavlaChar1"/>
    <w:qFormat/>
    <w:pPr>
      <w:ind w:left="1276" w:hanging="466"/>
      <w:jc w:val="both"/>
    </w:pPr>
    <w:rPr>
      <w:rFonts w:eastAsia="Calibri"/>
      <w:b/>
      <w:bCs/>
      <w:sz w:val="24"/>
      <w:szCs w:val="22"/>
    </w:rPr>
  </w:style>
  <w:style w:type="character" w:customStyle="1" w:styleId="TavlaChar1">
    <w:name w:val="Tavla Char1"/>
    <w:basedOn w:val="DefaultParagraphFont"/>
    <w:link w:val="Tavla"/>
    <w:rPr>
      <w:rFonts w:eastAsia="Calibri"/>
      <w:b/>
      <w:bCs/>
      <w:sz w:val="24"/>
      <w:szCs w:val="22"/>
    </w:rPr>
  </w:style>
  <w:style w:type="character" w:styleId="Emphasis">
    <w:name w:val="Emphasis"/>
    <w:basedOn w:val="DefaultParagraphFont"/>
    <w:uiPriority w:val="20"/>
    <w:qFormat/>
    <w:rPr>
      <w:i/>
      <w:iCs/>
    </w:rPr>
  </w:style>
  <w:style w:type="table" w:customStyle="1" w:styleId="TableGrid1">
    <w:name w:val="Table Grid1"/>
    <w:basedOn w:val="TableNormal"/>
    <w:next w:val="TableGrid"/>
    <w:uiPriority w:val="59"/>
    <w:pPr>
      <w:jc w:val="both"/>
    </w:pPr>
    <w:rPr>
      <w:rFonts w:ascii="Calibri" w:eastAsia="Calibri" w:hAnsi="Calibri" w:cs="Arial"/>
      <w:sz w:val="22"/>
      <w:szCs w:val="22"/>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Pr>
      <w:rFonts w:ascii="Arial" w:hAnsi="Arial"/>
      <w:szCs w:val="24"/>
      <w:lang w:bidi="ar-SA"/>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3FDF"/>
    <w:pPr>
      <w:ind w:left="720"/>
      <w:contextualSpacing/>
    </w:pPr>
  </w:style>
  <w:style w:type="paragraph" w:styleId="CommentSubject">
    <w:name w:val="annotation subject"/>
    <w:basedOn w:val="CommentText"/>
    <w:next w:val="CommentText"/>
    <w:link w:val="CommentSubjectChar"/>
    <w:uiPriority w:val="99"/>
    <w:pPr>
      <w:jc w:val="left"/>
    </w:pPr>
    <w:rPr>
      <w:b/>
      <w:bCs/>
      <w:sz w:val="20"/>
      <w:lang w:eastAsia="en-US" w:bidi="ar-SA"/>
    </w:rPr>
  </w:style>
  <w:style w:type="character" w:customStyle="1" w:styleId="CommentSubjectChar">
    <w:name w:val="Comment Subject Char"/>
    <w:basedOn w:val="CommentTextChar"/>
    <w:link w:val="CommentSubject"/>
    <w:uiPriority w:val="99"/>
    <w:rPr>
      <w:b/>
      <w:bCs/>
      <w:sz w:val="22"/>
      <w:lang w:eastAsia="he-IL" w:bidi="ar-SA"/>
    </w:rPr>
  </w:style>
  <w:style w:type="character" w:customStyle="1" w:styleId="highlight">
    <w:name w:val="highlight"/>
    <w:basedOn w:val="DefaultParagraphFont"/>
    <w:rsid w:val="006B34EB"/>
  </w:style>
  <w:style w:type="paragraph" w:customStyle="1" w:styleId="PaperInfo">
    <w:name w:val="Paper_Info"/>
    <w:basedOn w:val="Normal"/>
    <w:link w:val="PaperInfoChar"/>
    <w:qFormat/>
    <w:rsid w:val="00943FDF"/>
    <w:pPr>
      <w:tabs>
        <w:tab w:val="left" w:pos="2880"/>
      </w:tabs>
      <w:spacing w:after="60"/>
    </w:pPr>
  </w:style>
  <w:style w:type="character" w:customStyle="1" w:styleId="PaperInfoChar">
    <w:name w:val="Paper_Info Char"/>
    <w:basedOn w:val="DefaultParagraphFont"/>
    <w:link w:val="PaperInfo"/>
    <w:rsid w:val="00943FDF"/>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943FDF"/>
    <w:pPr>
      <w:spacing w:after="0"/>
    </w:pPr>
    <w:rPr>
      <w:color w:val="595959" w:themeColor="text1" w:themeTint="A6"/>
      <w:sz w:val="36"/>
    </w:rPr>
  </w:style>
  <w:style w:type="character" w:customStyle="1" w:styleId="AbstractChar">
    <w:name w:val="Abstract Char"/>
    <w:basedOn w:val="Heading1Char"/>
    <w:link w:val="Abstract"/>
    <w:rsid w:val="00943FDF"/>
    <w:rPr>
      <w:rFonts w:ascii="Garamond"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943FDF"/>
    <w:pPr>
      <w:jc w:val="center"/>
    </w:pPr>
    <w:rPr>
      <w:sz w:val="36"/>
    </w:rPr>
  </w:style>
  <w:style w:type="character" w:customStyle="1" w:styleId="PaperTitleChar">
    <w:name w:val="Paper Title Char"/>
    <w:basedOn w:val="Heading1Char"/>
    <w:link w:val="PaperTitle"/>
    <w:rsid w:val="00943FDF"/>
    <w:rPr>
      <w:rFonts w:ascii="Garamond" w:hAnsi="Garamond" w:cs="Arial"/>
      <w:b/>
      <w:bCs/>
      <w:smallCaps/>
      <w:kern w:val="32"/>
      <w:sz w:val="36"/>
      <w:szCs w:val="36"/>
      <w14:ligatures w14:val="all"/>
      <w14:stylisticSets>
        <w14:styleSet w14:id="5"/>
      </w14:stylisticSets>
      <w14:cntxtAlts/>
    </w:rPr>
  </w:style>
  <w:style w:type="character" w:customStyle="1" w:styleId="Heading2Char">
    <w:name w:val="Heading 2 Char"/>
    <w:basedOn w:val="DefaultParagraphFont"/>
    <w:link w:val="Heading2"/>
    <w:rsid w:val="00943FDF"/>
    <w:rPr>
      <w:rFonts w:ascii="Garamond" w:hAnsi="Garamond" w:cs="Arial"/>
      <w:b/>
      <w:bCs/>
      <w:i/>
      <w:iCs/>
      <w:smallCaps/>
      <w:kern w:val="20"/>
      <w:sz w:val="24"/>
      <w:szCs w:val="28"/>
      <w14:ligatures w14:val="all"/>
      <w14:stylisticSets>
        <w14:styleSet w14:id="5"/>
      </w14:stylisticSets>
      <w14:cntxtAlts/>
    </w:rPr>
  </w:style>
  <w:style w:type="character" w:customStyle="1" w:styleId="ReferencesChar">
    <w:name w:val="References Char"/>
    <w:link w:val="References"/>
    <w:locked/>
    <w:rsid w:val="00943FDF"/>
    <w:rPr>
      <w:rFonts w:ascii="Garamond" w:hAnsi="Garamond"/>
      <w:kern w:val="20"/>
      <w:szCs w:val="24"/>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833396">
      <w:bodyDiv w:val="1"/>
      <w:marLeft w:val="0"/>
      <w:marRight w:val="0"/>
      <w:marTop w:val="0"/>
      <w:marBottom w:val="0"/>
      <w:divBdr>
        <w:top w:val="none" w:sz="0" w:space="0" w:color="auto"/>
        <w:left w:val="none" w:sz="0" w:space="0" w:color="auto"/>
        <w:bottom w:val="none" w:sz="0" w:space="0" w:color="auto"/>
        <w:right w:val="none" w:sz="0" w:space="0" w:color="auto"/>
      </w:divBdr>
      <w:divsChild>
        <w:div w:id="209997208">
          <w:marLeft w:val="0"/>
          <w:marRight w:val="0"/>
          <w:marTop w:val="0"/>
          <w:marBottom w:val="0"/>
          <w:divBdr>
            <w:top w:val="none" w:sz="0" w:space="0" w:color="auto"/>
            <w:left w:val="none" w:sz="0" w:space="0" w:color="auto"/>
            <w:bottom w:val="none" w:sz="0" w:space="0" w:color="auto"/>
            <w:right w:val="none" w:sz="0" w:space="0" w:color="auto"/>
          </w:divBdr>
        </w:div>
        <w:div w:id="1671055448">
          <w:marLeft w:val="0"/>
          <w:marRight w:val="0"/>
          <w:marTop w:val="0"/>
          <w:marBottom w:val="0"/>
          <w:divBdr>
            <w:top w:val="none" w:sz="0" w:space="0" w:color="auto"/>
            <w:left w:val="none" w:sz="0" w:space="0" w:color="auto"/>
            <w:bottom w:val="none" w:sz="0" w:space="0" w:color="auto"/>
            <w:right w:val="none" w:sz="0" w:space="0" w:color="auto"/>
          </w:divBdr>
        </w:div>
        <w:div w:id="36124418">
          <w:marLeft w:val="0"/>
          <w:marRight w:val="0"/>
          <w:marTop w:val="0"/>
          <w:marBottom w:val="0"/>
          <w:divBdr>
            <w:top w:val="none" w:sz="0" w:space="0" w:color="auto"/>
            <w:left w:val="none" w:sz="0" w:space="0" w:color="auto"/>
            <w:bottom w:val="none" w:sz="0" w:space="0" w:color="auto"/>
            <w:right w:val="none" w:sz="0" w:space="0" w:color="auto"/>
          </w:divBdr>
        </w:div>
        <w:div w:id="1844782385">
          <w:marLeft w:val="0"/>
          <w:marRight w:val="0"/>
          <w:marTop w:val="0"/>
          <w:marBottom w:val="0"/>
          <w:divBdr>
            <w:top w:val="none" w:sz="0" w:space="0" w:color="auto"/>
            <w:left w:val="none" w:sz="0" w:space="0" w:color="auto"/>
            <w:bottom w:val="none" w:sz="0" w:space="0" w:color="auto"/>
            <w:right w:val="none" w:sz="0" w:space="0" w:color="auto"/>
          </w:divBdr>
        </w:div>
        <w:div w:id="1458645410">
          <w:marLeft w:val="0"/>
          <w:marRight w:val="0"/>
          <w:marTop w:val="0"/>
          <w:marBottom w:val="0"/>
          <w:divBdr>
            <w:top w:val="none" w:sz="0" w:space="0" w:color="auto"/>
            <w:left w:val="none" w:sz="0" w:space="0" w:color="auto"/>
            <w:bottom w:val="none" w:sz="0" w:space="0" w:color="auto"/>
            <w:right w:val="none" w:sz="0" w:space="0" w:color="auto"/>
          </w:divBdr>
        </w:div>
        <w:div w:id="1177576791">
          <w:marLeft w:val="0"/>
          <w:marRight w:val="0"/>
          <w:marTop w:val="0"/>
          <w:marBottom w:val="0"/>
          <w:divBdr>
            <w:top w:val="none" w:sz="0" w:space="0" w:color="auto"/>
            <w:left w:val="none" w:sz="0" w:space="0" w:color="auto"/>
            <w:bottom w:val="none" w:sz="0" w:space="0" w:color="auto"/>
            <w:right w:val="none" w:sz="0" w:space="0" w:color="auto"/>
          </w:divBdr>
        </w:div>
        <w:div w:id="1785880053">
          <w:marLeft w:val="0"/>
          <w:marRight w:val="0"/>
          <w:marTop w:val="0"/>
          <w:marBottom w:val="0"/>
          <w:divBdr>
            <w:top w:val="none" w:sz="0" w:space="0" w:color="auto"/>
            <w:left w:val="none" w:sz="0" w:space="0" w:color="auto"/>
            <w:bottom w:val="none" w:sz="0" w:space="0" w:color="auto"/>
            <w:right w:val="none" w:sz="0" w:space="0" w:color="auto"/>
          </w:divBdr>
        </w:div>
        <w:div w:id="878007210">
          <w:marLeft w:val="0"/>
          <w:marRight w:val="0"/>
          <w:marTop w:val="0"/>
          <w:marBottom w:val="0"/>
          <w:divBdr>
            <w:top w:val="none" w:sz="0" w:space="0" w:color="auto"/>
            <w:left w:val="none" w:sz="0" w:space="0" w:color="auto"/>
            <w:bottom w:val="none" w:sz="0" w:space="0" w:color="auto"/>
            <w:right w:val="none" w:sz="0" w:space="0" w:color="auto"/>
          </w:divBdr>
        </w:div>
        <w:div w:id="1086615219">
          <w:marLeft w:val="0"/>
          <w:marRight w:val="0"/>
          <w:marTop w:val="0"/>
          <w:marBottom w:val="0"/>
          <w:divBdr>
            <w:top w:val="none" w:sz="0" w:space="0" w:color="auto"/>
            <w:left w:val="none" w:sz="0" w:space="0" w:color="auto"/>
            <w:bottom w:val="none" w:sz="0" w:space="0" w:color="auto"/>
            <w:right w:val="none" w:sz="0" w:space="0" w:color="auto"/>
          </w:divBdr>
        </w:div>
        <w:div w:id="1817523861">
          <w:marLeft w:val="0"/>
          <w:marRight w:val="0"/>
          <w:marTop w:val="0"/>
          <w:marBottom w:val="0"/>
          <w:divBdr>
            <w:top w:val="none" w:sz="0" w:space="0" w:color="auto"/>
            <w:left w:val="none" w:sz="0" w:space="0" w:color="auto"/>
            <w:bottom w:val="none" w:sz="0" w:space="0" w:color="auto"/>
            <w:right w:val="none" w:sz="0" w:space="0" w:color="auto"/>
          </w:divBdr>
        </w:div>
      </w:divsChild>
    </w:div>
    <w:div w:id="315382783">
      <w:bodyDiv w:val="1"/>
      <w:marLeft w:val="0"/>
      <w:marRight w:val="0"/>
      <w:marTop w:val="0"/>
      <w:marBottom w:val="0"/>
      <w:divBdr>
        <w:top w:val="none" w:sz="0" w:space="0" w:color="auto"/>
        <w:left w:val="none" w:sz="0" w:space="0" w:color="auto"/>
        <w:bottom w:val="none" w:sz="0" w:space="0" w:color="auto"/>
        <w:right w:val="none" w:sz="0" w:space="0" w:color="auto"/>
      </w:divBdr>
    </w:div>
    <w:div w:id="623853288">
      <w:bodyDiv w:val="1"/>
      <w:marLeft w:val="0"/>
      <w:marRight w:val="0"/>
      <w:marTop w:val="0"/>
      <w:marBottom w:val="0"/>
      <w:divBdr>
        <w:top w:val="none" w:sz="0" w:space="0" w:color="auto"/>
        <w:left w:val="none" w:sz="0" w:space="0" w:color="auto"/>
        <w:bottom w:val="none" w:sz="0" w:space="0" w:color="auto"/>
        <w:right w:val="none" w:sz="0" w:space="0" w:color="auto"/>
      </w:divBdr>
      <w:divsChild>
        <w:div w:id="1594434403">
          <w:marLeft w:val="0"/>
          <w:marRight w:val="0"/>
          <w:marTop w:val="0"/>
          <w:marBottom w:val="0"/>
          <w:divBdr>
            <w:top w:val="none" w:sz="0" w:space="0" w:color="auto"/>
            <w:left w:val="none" w:sz="0" w:space="0" w:color="auto"/>
            <w:bottom w:val="none" w:sz="0" w:space="0" w:color="auto"/>
            <w:right w:val="none" w:sz="0" w:space="0" w:color="auto"/>
          </w:divBdr>
        </w:div>
      </w:divsChild>
    </w:div>
    <w:div w:id="1258100936">
      <w:bodyDiv w:val="1"/>
      <w:marLeft w:val="0"/>
      <w:marRight w:val="0"/>
      <w:marTop w:val="0"/>
      <w:marBottom w:val="0"/>
      <w:divBdr>
        <w:top w:val="none" w:sz="0" w:space="0" w:color="auto"/>
        <w:left w:val="none" w:sz="0" w:space="0" w:color="auto"/>
        <w:bottom w:val="none" w:sz="0" w:space="0" w:color="auto"/>
        <w:right w:val="none" w:sz="0" w:space="0" w:color="auto"/>
      </w:divBdr>
    </w:div>
    <w:div w:id="1311444717">
      <w:bodyDiv w:val="1"/>
      <w:marLeft w:val="0"/>
      <w:marRight w:val="0"/>
      <w:marTop w:val="0"/>
      <w:marBottom w:val="0"/>
      <w:divBdr>
        <w:top w:val="none" w:sz="0" w:space="0" w:color="auto"/>
        <w:left w:val="none" w:sz="0" w:space="0" w:color="auto"/>
        <w:bottom w:val="none" w:sz="0" w:space="0" w:color="auto"/>
        <w:right w:val="none" w:sz="0" w:space="0" w:color="auto"/>
      </w:divBdr>
    </w:div>
    <w:div w:id="1994915842">
      <w:bodyDiv w:val="1"/>
      <w:marLeft w:val="0"/>
      <w:marRight w:val="0"/>
      <w:marTop w:val="0"/>
      <w:marBottom w:val="0"/>
      <w:divBdr>
        <w:top w:val="none" w:sz="0" w:space="0" w:color="auto"/>
        <w:left w:val="none" w:sz="0" w:space="0" w:color="auto"/>
        <w:bottom w:val="none" w:sz="0" w:space="0" w:color="auto"/>
        <w:right w:val="none" w:sz="0" w:space="0" w:color="auto"/>
      </w:divBdr>
      <w:divsChild>
        <w:div w:id="84852339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dx.doi.org/10.1016/j.compedu.2015.11.010" TargetMode="External"/><Relationship Id="rId18" Type="http://schemas.openxmlformats.org/officeDocument/2006/relationships/header" Target="header1.xml"/><Relationship Id="rId26" Type="http://schemas.openxmlformats.org/officeDocument/2006/relationships/footer" Target="footer4.xml"/><Relationship Id="rId3" Type="http://schemas.microsoft.com/office/2007/relationships/stylesWithEffects" Target="stylesWithEffects.xml"/><Relationship Id="rId21" Type="http://schemas.openxmlformats.org/officeDocument/2006/relationships/footer" Target="footer2.xml"/><Relationship Id="rId34"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editlib.org/p/36717" TargetMode="External"/><Relationship Id="rId25" Type="http://schemas.openxmlformats.org/officeDocument/2006/relationships/header" Target="header5.xml"/><Relationship Id="rId33" Type="http://schemas.openxmlformats.org/officeDocument/2006/relationships/footer" Target="footer6.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doi.org/10.1787/9789264203488-en" TargetMode="External"/><Relationship Id="rId20" Type="http://schemas.openxmlformats.org/officeDocument/2006/relationships/footer" Target="footer1.xml"/><Relationship Id="rId29"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4.xml"/><Relationship Id="rId32" Type="http://schemas.openxmlformats.org/officeDocument/2006/relationships/header" Target="header7.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ditlib.org/p/22423" TargetMode="External"/><Relationship Id="rId23" Type="http://schemas.openxmlformats.org/officeDocument/2006/relationships/footer" Target="footer3.xml"/><Relationship Id="rId28" Type="http://schemas.openxmlformats.org/officeDocument/2006/relationships/image" Target="media/image7.png"/><Relationship Id="rId36" Type="http://schemas.openxmlformats.org/officeDocument/2006/relationships/footer" Target="footer8.xml"/><Relationship Id="rId10" Type="http://schemas.openxmlformats.org/officeDocument/2006/relationships/image" Target="media/image3.png"/><Relationship Id="rId19" Type="http://schemas.openxmlformats.org/officeDocument/2006/relationships/header" Target="header2.xml"/><Relationship Id="rId31" Type="http://schemas.openxmlformats.org/officeDocument/2006/relationships/header" Target="header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pringerreference.com/docs/html/chapterdbid/303248.html" TargetMode="External"/><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image" Target="media/image9.png"/><Relationship Id="rId35" Type="http://schemas.openxmlformats.org/officeDocument/2006/relationships/header" Target="header8.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www.informingscience.org/Publications/3632"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7112</Words>
  <Characters>45225</Characters>
  <Application>Microsoft Office Word</Application>
  <DocSecurity>0</DocSecurity>
  <Lines>807</Lines>
  <Paragraphs>376</Paragraphs>
  <ScaleCrop>false</ScaleCrop>
  <HeadingPairs>
    <vt:vector size="2" baseType="variant">
      <vt:variant>
        <vt:lpstr>Title</vt:lpstr>
      </vt:variant>
      <vt:variant>
        <vt:i4>1</vt:i4>
      </vt:variant>
    </vt:vector>
  </HeadingPairs>
  <TitlesOfParts>
    <vt:vector size="1" baseType="lpstr">
      <vt:lpstr>Put Title Here Using Heading 1 Style</vt:lpstr>
    </vt:vector>
  </TitlesOfParts>
  <Manager>Fay Sudweeks, Editor-in-Chief</Manager>
  <Company>Informing Science Institute</Company>
  <LinksUpToDate>false</LinksUpToDate>
  <CharactersWithSpaces>51961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Medical Community of Inquiry: A Diagnostic Tool for Learning, Assessment, and Research</dc:title>
  <dc:creator>Rachel Nave, Rakefet Ackerman, Yehudit Judy Dori</dc:creator>
  <cp:keywords>community of inquiry, online forums, hands-on experience, TPACK, instructional technology, teacher professional development</cp:keywords>
  <cp:lastModifiedBy>bettyboyd</cp:lastModifiedBy>
  <cp:revision>4</cp:revision>
  <cp:lastPrinted>2017-01-01T17:41:00Z</cp:lastPrinted>
  <dcterms:created xsi:type="dcterms:W3CDTF">2017-01-02T20:03:00Z</dcterms:created>
  <dcterms:modified xsi:type="dcterms:W3CDTF">2017-01-02T20:10:00Z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Fay Sudweeks</vt:lpwstr>
  </property>
  <property fmtid="{D5CDD505-2E9C-101B-9397-08002B2CF9AE}" pid="3" name="Publisher">
    <vt:lpwstr>Informing Science Institute</vt:lpwstr>
  </property>
  <property fmtid="{D5CDD505-2E9C-101B-9397-08002B2CF9AE}" pid="4" name="Source">
    <vt:lpwstr>http://www.informingscience.org/Publications/3632</vt:lpwstr>
  </property>
</Properties>
</file>