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DDD" w:rsidRPr="00C5575B" w:rsidRDefault="00F2773F" w:rsidP="00C5575B">
      <w:pPr>
        <w:pStyle w:val="PaperTitle"/>
      </w:pPr>
      <w:bookmarkStart w:id="0" w:name="_Hlk502564494"/>
      <w:bookmarkStart w:id="1" w:name="OLE_LINK9"/>
      <w:bookmarkStart w:id="2" w:name="OLE_LINK10"/>
      <w:r w:rsidRPr="00F2773F">
        <w:t xml:space="preserve">Work-Based Learning and Research for </w:t>
      </w:r>
      <w:r w:rsidR="00153D44">
        <w:br/>
      </w:r>
      <w:r w:rsidRPr="00F2773F">
        <w:t xml:space="preserve">Mid-Career Professionals: </w:t>
      </w:r>
      <w:r w:rsidR="00153D44">
        <w:br/>
      </w:r>
      <w:r w:rsidRPr="00F2773F">
        <w:t>Professional Studies in Australia</w:t>
      </w:r>
      <w:bookmarkEnd w:id="0"/>
    </w:p>
    <w:tbl>
      <w:tblPr>
        <w:tblW w:w="9108" w:type="dxa"/>
        <w:tblLook w:val="0600" w:firstRow="0" w:lastRow="0" w:firstColumn="0" w:lastColumn="0" w:noHBand="1" w:noVBand="1"/>
      </w:tblPr>
      <w:tblGrid>
        <w:gridCol w:w="2538"/>
        <w:gridCol w:w="3420"/>
        <w:gridCol w:w="3150"/>
      </w:tblGrid>
      <w:tr w:rsidR="00ED1338" w:rsidRPr="00FA6E83" w:rsidTr="005C0303">
        <w:tc>
          <w:tcPr>
            <w:tcW w:w="2538" w:type="dxa"/>
          </w:tcPr>
          <w:p w:rsidR="00FA6E83" w:rsidRPr="00FA6E83" w:rsidRDefault="00C650AB" w:rsidP="00DB3FF2">
            <w:pPr>
              <w:pStyle w:val="PaperInfo"/>
              <w:tabs>
                <w:tab w:val="clear" w:pos="2880"/>
              </w:tabs>
              <w:suppressAutoHyphens/>
            </w:pPr>
            <w:bookmarkStart w:id="3" w:name="_Hlk502564634"/>
            <w:bookmarkStart w:id="4" w:name="OLE_LINK27"/>
            <w:bookmarkStart w:id="5" w:name="OLE_LINK28"/>
            <w:bookmarkStart w:id="6" w:name="OLE_LINK29"/>
            <w:bookmarkStart w:id="7" w:name="OLE_LINK30"/>
            <w:r>
              <w:t>Lee Fergusson</w:t>
            </w:r>
            <w:r w:rsidR="00FA6E83" w:rsidRPr="00FA6E83">
              <w:t>*</w:t>
            </w:r>
          </w:p>
        </w:tc>
        <w:tc>
          <w:tcPr>
            <w:tcW w:w="3420" w:type="dxa"/>
          </w:tcPr>
          <w:p w:rsidR="00FA6E83" w:rsidRPr="00FA6E83" w:rsidRDefault="00C650AB" w:rsidP="00F2773F">
            <w:pPr>
              <w:pStyle w:val="PaperInfo"/>
              <w:tabs>
                <w:tab w:val="clear" w:pos="2880"/>
              </w:tabs>
            </w:pPr>
            <w:r>
              <w:t>University of Southern Queensland, Australia</w:t>
            </w:r>
          </w:p>
        </w:tc>
        <w:tc>
          <w:tcPr>
            <w:tcW w:w="3150" w:type="dxa"/>
          </w:tcPr>
          <w:p w:rsidR="00FA6E83" w:rsidRPr="00FA6E83" w:rsidRDefault="00E26125" w:rsidP="00F2773F">
            <w:pPr>
              <w:pStyle w:val="PaperInfo"/>
              <w:tabs>
                <w:tab w:val="clear" w:pos="2880"/>
              </w:tabs>
            </w:pPr>
            <w:hyperlink r:id="rId9" w:history="1">
              <w:r w:rsidR="00153D44" w:rsidRPr="008C33D0">
                <w:rPr>
                  <w:rStyle w:val="Hyperlink"/>
                </w:rPr>
                <w:t>Lee.Fergusson@usq.edu.au</w:t>
              </w:r>
            </w:hyperlink>
            <w:r w:rsidR="00153D44">
              <w:t xml:space="preserve"> </w:t>
            </w:r>
          </w:p>
        </w:tc>
      </w:tr>
      <w:tr w:rsidR="00ED1338" w:rsidRPr="00FA6E83" w:rsidTr="005C0303">
        <w:tc>
          <w:tcPr>
            <w:tcW w:w="2538" w:type="dxa"/>
          </w:tcPr>
          <w:p w:rsidR="00C5575B" w:rsidRPr="00FA6E83" w:rsidRDefault="00C650AB" w:rsidP="00153D44">
            <w:pPr>
              <w:pStyle w:val="PaperInfo"/>
              <w:tabs>
                <w:tab w:val="clear" w:pos="2880"/>
              </w:tabs>
            </w:pPr>
            <w:r>
              <w:t>Tim Allred</w:t>
            </w:r>
          </w:p>
        </w:tc>
        <w:tc>
          <w:tcPr>
            <w:tcW w:w="3420" w:type="dxa"/>
          </w:tcPr>
          <w:p w:rsidR="00C5575B" w:rsidRPr="00FA6E83" w:rsidRDefault="00C650AB" w:rsidP="00F2773F">
            <w:pPr>
              <w:pStyle w:val="PaperInfo"/>
              <w:tabs>
                <w:tab w:val="clear" w:pos="2880"/>
              </w:tabs>
            </w:pPr>
            <w:r>
              <w:t>University of Southern Queensland, Australia</w:t>
            </w:r>
            <w:r w:rsidR="00ED1338">
              <w:t xml:space="preserve"> </w:t>
            </w:r>
          </w:p>
        </w:tc>
        <w:tc>
          <w:tcPr>
            <w:tcW w:w="3150" w:type="dxa"/>
          </w:tcPr>
          <w:p w:rsidR="00C5575B" w:rsidRPr="00DB3FF2" w:rsidRDefault="00E26125" w:rsidP="00F2773F">
            <w:pPr>
              <w:pStyle w:val="PaperInfo"/>
              <w:tabs>
                <w:tab w:val="clear" w:pos="2880"/>
              </w:tabs>
            </w:pPr>
            <w:hyperlink r:id="rId10" w:history="1">
              <w:r w:rsidR="00153D44" w:rsidRPr="008C33D0">
                <w:rPr>
                  <w:rStyle w:val="Hyperlink"/>
                </w:rPr>
                <w:t>U1088270@umail.usq.edu.au</w:t>
              </w:r>
            </w:hyperlink>
            <w:r w:rsidR="00153D44">
              <w:rPr>
                <w:rStyle w:val="rwrro"/>
              </w:rPr>
              <w:t xml:space="preserve"> </w:t>
            </w:r>
          </w:p>
        </w:tc>
      </w:tr>
      <w:tr w:rsidR="00153D44" w:rsidRPr="00FA6E83" w:rsidTr="005C0303">
        <w:tc>
          <w:tcPr>
            <w:tcW w:w="2538" w:type="dxa"/>
          </w:tcPr>
          <w:p w:rsidR="00153D44" w:rsidRDefault="00153D44" w:rsidP="00F2773F">
            <w:pPr>
              <w:pStyle w:val="PaperInfo"/>
              <w:tabs>
                <w:tab w:val="clear" w:pos="2880"/>
              </w:tabs>
            </w:pPr>
            <w:r>
              <w:t>Troy Dux</w:t>
            </w:r>
          </w:p>
        </w:tc>
        <w:tc>
          <w:tcPr>
            <w:tcW w:w="3420" w:type="dxa"/>
          </w:tcPr>
          <w:p w:rsidR="00153D44" w:rsidRDefault="00153D44" w:rsidP="00F2773F">
            <w:pPr>
              <w:pStyle w:val="PaperInfo"/>
              <w:tabs>
                <w:tab w:val="clear" w:pos="2880"/>
              </w:tabs>
            </w:pPr>
            <w:r>
              <w:t>University of Southern Queensland, Australia</w:t>
            </w:r>
          </w:p>
        </w:tc>
        <w:tc>
          <w:tcPr>
            <w:tcW w:w="3150" w:type="dxa"/>
          </w:tcPr>
          <w:p w:rsidR="00153D44" w:rsidRPr="00C5575B" w:rsidRDefault="00E26125" w:rsidP="00F2773F">
            <w:pPr>
              <w:pStyle w:val="PaperInfo"/>
              <w:tabs>
                <w:tab w:val="clear" w:pos="2880"/>
              </w:tabs>
              <w:rPr>
                <w:rStyle w:val="rwrro"/>
              </w:rPr>
            </w:pPr>
            <w:hyperlink r:id="rId11" w:history="1">
              <w:r w:rsidR="00153D44" w:rsidRPr="008C33D0">
                <w:rPr>
                  <w:rStyle w:val="Hyperlink"/>
                </w:rPr>
                <w:t>Troy.Dux@usq.edu.au</w:t>
              </w:r>
            </w:hyperlink>
            <w:r w:rsidR="00153D44">
              <w:t xml:space="preserve"> </w:t>
            </w:r>
          </w:p>
        </w:tc>
      </w:tr>
    </w:tbl>
    <w:p w:rsidR="00747491" w:rsidRPr="00145B34" w:rsidRDefault="00DB3FF2" w:rsidP="00C527A5">
      <w:pPr>
        <w:pStyle w:val="PaperInfo"/>
      </w:pPr>
      <w:bookmarkStart w:id="8" w:name="OLE_LINK24"/>
      <w:bookmarkStart w:id="9" w:name="OLE_LINK25"/>
      <w:bookmarkStart w:id="10" w:name="OLE_LINK26"/>
      <w:bookmarkEnd w:id="3"/>
      <w:r>
        <w:t>* Corresponding author</w:t>
      </w:r>
    </w:p>
    <w:bookmarkEnd w:id="8"/>
    <w:bookmarkEnd w:id="9"/>
    <w:bookmarkEnd w:id="10"/>
    <w:p w:rsidR="00145B34" w:rsidRPr="00843345" w:rsidRDefault="00C03B2C" w:rsidP="00AD1AA5">
      <w:pPr>
        <w:pStyle w:val="Heading1"/>
      </w:pPr>
      <w:r w:rsidRPr="00FA6E83">
        <w:t>Abstract</w:t>
      </w:r>
    </w:p>
    <w:tbl>
      <w:tblPr>
        <w:tblW w:w="8931" w:type="dxa"/>
        <w:tblLook w:val="04A0" w:firstRow="1" w:lastRow="0" w:firstColumn="1" w:lastColumn="0" w:noHBand="0" w:noVBand="1"/>
      </w:tblPr>
      <w:tblGrid>
        <w:gridCol w:w="1980"/>
        <w:gridCol w:w="6809"/>
        <w:gridCol w:w="142"/>
      </w:tblGrid>
      <w:tr w:rsidR="00FA6E83" w:rsidRPr="00FA6E83" w:rsidTr="00ED2F72">
        <w:tc>
          <w:tcPr>
            <w:tcW w:w="1980" w:type="dxa"/>
          </w:tcPr>
          <w:p w:rsidR="00FA6E83" w:rsidRPr="00FA6E83" w:rsidRDefault="00FA6E83" w:rsidP="00F2773F">
            <w:pPr>
              <w:pStyle w:val="PaperInfo"/>
              <w:tabs>
                <w:tab w:val="clear" w:pos="2880"/>
              </w:tabs>
            </w:pPr>
            <w:r w:rsidRPr="00FA6E83">
              <w:t>Aim/Purpose</w:t>
            </w:r>
          </w:p>
        </w:tc>
        <w:tc>
          <w:tcPr>
            <w:tcW w:w="6951" w:type="dxa"/>
            <w:gridSpan w:val="2"/>
          </w:tcPr>
          <w:p w:rsidR="00FA6E83" w:rsidRPr="00FA6E83" w:rsidRDefault="00C733D7" w:rsidP="00F2773F">
            <w:pPr>
              <w:pStyle w:val="PaperInfo"/>
              <w:tabs>
                <w:tab w:val="clear" w:pos="2880"/>
              </w:tabs>
            </w:pPr>
            <w:r>
              <w:t>Work-based learning</w:t>
            </w:r>
            <w:r w:rsidR="000875BB">
              <w:t xml:space="preserve"> </w:t>
            </w:r>
            <w:r>
              <w:t xml:space="preserve">has been identified in the literature, </w:t>
            </w:r>
            <w:r w:rsidR="00996662">
              <w:t xml:space="preserve">and is established </w:t>
            </w:r>
            <w:r>
              <w:t xml:space="preserve">in academia and in </w:t>
            </w:r>
            <w:r w:rsidR="00996662">
              <w:t xml:space="preserve">the </w:t>
            </w:r>
            <w:r w:rsidR="00D87C7C">
              <w:t>global worlds of work</w:t>
            </w:r>
            <w:r>
              <w:t xml:space="preserve">; </w:t>
            </w:r>
            <w:r w:rsidR="00996662">
              <w:t xml:space="preserve">however, an examination of </w:t>
            </w:r>
            <w:r>
              <w:t>work-based research, particularly at the doctoral level</w:t>
            </w:r>
            <w:r w:rsidR="00996662">
              <w:t>,</w:t>
            </w:r>
            <w:r>
              <w:t xml:space="preserve"> has been less well articulated.</w:t>
            </w:r>
            <w:r w:rsidR="00CB4D01">
              <w:t xml:space="preserve"> Moreover, a paucity of published literature on either work-based research or Professional Studies means little is known about the dynamics and drivers of these domains.</w:t>
            </w:r>
            <w:r w:rsidR="00C7149A">
              <w:t xml:space="preserve"> This study aims to begin addressing the shortfall in literature on work-based research and Professional Studies programs, using the program at University of Southern Queensland as an example.</w:t>
            </w:r>
          </w:p>
        </w:tc>
      </w:tr>
      <w:tr w:rsidR="00FA6E83" w:rsidRPr="00FA6E83" w:rsidTr="00ED2F72">
        <w:tc>
          <w:tcPr>
            <w:tcW w:w="1980" w:type="dxa"/>
          </w:tcPr>
          <w:p w:rsidR="00FA6E83" w:rsidRPr="00FA6E83" w:rsidRDefault="00FA6E83" w:rsidP="00F2773F">
            <w:pPr>
              <w:pStyle w:val="PaperInfo"/>
              <w:tabs>
                <w:tab w:val="clear" w:pos="2880"/>
              </w:tabs>
            </w:pPr>
            <w:r w:rsidRPr="00FA6E83">
              <w:t>Background</w:t>
            </w:r>
          </w:p>
        </w:tc>
        <w:tc>
          <w:tcPr>
            <w:tcW w:w="6951" w:type="dxa"/>
            <w:gridSpan w:val="2"/>
          </w:tcPr>
          <w:p w:rsidR="00FA6E83" w:rsidRPr="00FA6E83" w:rsidRDefault="00C733D7" w:rsidP="00F2773F">
            <w:pPr>
              <w:pStyle w:val="PaperInfo"/>
              <w:tabs>
                <w:tab w:val="clear" w:pos="2880"/>
              </w:tabs>
            </w:pPr>
            <w:r>
              <w:t>T</w:t>
            </w:r>
            <w:r w:rsidR="00FA6E83" w:rsidRPr="00FA6E83">
              <w:t xml:space="preserve">his paper </w:t>
            </w:r>
            <w:r w:rsidR="00996662">
              <w:t>examines work-based research in the context</w:t>
            </w:r>
            <w:r>
              <w:t xml:space="preserve"> of the Professional Studies </w:t>
            </w:r>
            <w:r w:rsidR="008679E5">
              <w:t>p</w:t>
            </w:r>
            <w:r>
              <w:t>rogram at University of Southern Queensland in Australia</w:t>
            </w:r>
            <w:r w:rsidR="00D0296C">
              <w:t>,</w:t>
            </w:r>
            <w:r w:rsidR="00B5324C">
              <w:t xml:space="preserve"> </w:t>
            </w:r>
            <w:r w:rsidR="004B171E">
              <w:t>with which the authors are affiliated.</w:t>
            </w:r>
          </w:p>
        </w:tc>
      </w:tr>
      <w:tr w:rsidR="00FA6E83" w:rsidRPr="00FA6E83" w:rsidTr="00ED2F72">
        <w:tc>
          <w:tcPr>
            <w:tcW w:w="1980" w:type="dxa"/>
          </w:tcPr>
          <w:p w:rsidR="00FA6E83" w:rsidRPr="00FA6E83" w:rsidRDefault="00FA6E83" w:rsidP="00F2773F">
            <w:pPr>
              <w:pStyle w:val="PaperInfo"/>
              <w:tabs>
                <w:tab w:val="clear" w:pos="2880"/>
              </w:tabs>
            </w:pPr>
            <w:r w:rsidRPr="00FA6E83">
              <w:t>Methodology</w:t>
            </w:r>
          </w:p>
        </w:tc>
        <w:tc>
          <w:tcPr>
            <w:tcW w:w="6951" w:type="dxa"/>
            <w:gridSpan w:val="2"/>
          </w:tcPr>
          <w:p w:rsidR="00FA6E83" w:rsidRPr="00FA6E83" w:rsidRDefault="00996662" w:rsidP="00F2773F">
            <w:pPr>
              <w:pStyle w:val="PaperInfo"/>
              <w:tabs>
                <w:tab w:val="clear" w:pos="2880"/>
              </w:tabs>
            </w:pPr>
            <w:r>
              <w:t>Analysis of work-based research includes discussion of ‘messy’ research env</w:t>
            </w:r>
            <w:r>
              <w:t>i</w:t>
            </w:r>
            <w:r>
              <w:t>ronments and the changing nature of workplaces</w:t>
            </w:r>
            <w:r w:rsidR="005A4BF5">
              <w:t>,</w:t>
            </w:r>
            <w:r>
              <w:t xml:space="preserve"> along with the opportunities and challenges such environments pose for </w:t>
            </w:r>
            <w:r w:rsidR="00D87C7C">
              <w:t xml:space="preserve">action </w:t>
            </w:r>
            <w:r>
              <w:t>researchers.</w:t>
            </w:r>
          </w:p>
        </w:tc>
      </w:tr>
      <w:tr w:rsidR="00FA6E83" w:rsidRPr="00FA6E83" w:rsidTr="00ED2F72">
        <w:tc>
          <w:tcPr>
            <w:tcW w:w="1980" w:type="dxa"/>
          </w:tcPr>
          <w:p w:rsidR="00FA6E83" w:rsidRPr="00FA6E83" w:rsidRDefault="00FA6E83" w:rsidP="00F2773F">
            <w:pPr>
              <w:pStyle w:val="PaperInfo"/>
              <w:tabs>
                <w:tab w:val="clear" w:pos="2880"/>
              </w:tabs>
            </w:pPr>
            <w:r w:rsidRPr="00FA6E83">
              <w:t>Contribution</w:t>
            </w:r>
          </w:p>
        </w:tc>
        <w:tc>
          <w:tcPr>
            <w:tcW w:w="6951" w:type="dxa"/>
            <w:gridSpan w:val="2"/>
          </w:tcPr>
          <w:p w:rsidR="00FA6E83" w:rsidRPr="00FA6E83" w:rsidRDefault="00C7149A" w:rsidP="00F2773F">
            <w:pPr>
              <w:pStyle w:val="PaperInfo"/>
              <w:tabs>
                <w:tab w:val="clear" w:pos="2880"/>
              </w:tabs>
            </w:pPr>
            <w:r>
              <w:t>In addition to addressing a shortfall in the published literature on work-based research, the paper also contributes insight into the mechanisms used to pr</w:t>
            </w:r>
            <w:r>
              <w:t>o</w:t>
            </w:r>
            <w:r>
              <w:t>mote reflective practice and the generation of professional artefacts</w:t>
            </w:r>
            <w:r w:rsidR="00CB4D01">
              <w:t>.</w:t>
            </w:r>
          </w:p>
        </w:tc>
      </w:tr>
      <w:tr w:rsidR="00FA6E83" w:rsidRPr="00FA6E83" w:rsidTr="00ED2F72">
        <w:tc>
          <w:tcPr>
            <w:tcW w:w="1980" w:type="dxa"/>
          </w:tcPr>
          <w:p w:rsidR="00FA6E83" w:rsidRPr="00FA6E83" w:rsidRDefault="00FA6E83" w:rsidP="00F2773F">
            <w:pPr>
              <w:pStyle w:val="PaperInfo"/>
              <w:tabs>
                <w:tab w:val="clear" w:pos="2880"/>
              </w:tabs>
            </w:pPr>
            <w:r w:rsidRPr="00FA6E83">
              <w:t>Findings</w:t>
            </w:r>
          </w:p>
        </w:tc>
        <w:tc>
          <w:tcPr>
            <w:tcW w:w="6951" w:type="dxa"/>
            <w:gridSpan w:val="2"/>
          </w:tcPr>
          <w:p w:rsidR="00FA6E83" w:rsidRPr="00FA6E83" w:rsidRDefault="004B171E" w:rsidP="00F2773F">
            <w:pPr>
              <w:pStyle w:val="PaperInfo"/>
              <w:tabs>
                <w:tab w:val="clear" w:pos="2880"/>
              </w:tabs>
            </w:pPr>
            <w:r>
              <w:t>Often driven by altruism, work-based research as implemented in the Profe</w:t>
            </w:r>
            <w:r>
              <w:t>s</w:t>
            </w:r>
            <w:r>
              <w:t xml:space="preserve">sional Studies </w:t>
            </w:r>
            <w:r w:rsidR="00E25E52">
              <w:t>p</w:t>
            </w:r>
            <w:r>
              <w:t>rogram results in a so-called ‘triple dividend</w:t>
            </w:r>
            <w:r w:rsidR="00FA7E9A">
              <w:t>’</w:t>
            </w:r>
            <w:r>
              <w:t>, designed to ben</w:t>
            </w:r>
            <w:r>
              <w:t>e</w:t>
            </w:r>
            <w:r>
              <w:t>fit the individual researcher, work</w:t>
            </w:r>
            <w:r w:rsidR="00FA7E9A">
              <w:t xml:space="preserve"> environment</w:t>
            </w:r>
            <w:r>
              <w:t>, and community of practice.</w:t>
            </w:r>
          </w:p>
        </w:tc>
      </w:tr>
      <w:tr w:rsidR="00FA6E83" w:rsidRPr="00FA6E83" w:rsidTr="00ED2F72">
        <w:trPr>
          <w:gridAfter w:val="1"/>
          <w:wAfter w:w="142" w:type="dxa"/>
          <w:cantSplit/>
        </w:trPr>
        <w:tc>
          <w:tcPr>
            <w:tcW w:w="1980" w:type="dxa"/>
          </w:tcPr>
          <w:p w:rsidR="00FA6E83" w:rsidRPr="00FA6E83" w:rsidRDefault="00FA6E83" w:rsidP="00F2773F">
            <w:pPr>
              <w:pStyle w:val="PaperInfo"/>
              <w:tabs>
                <w:tab w:val="clear" w:pos="2880"/>
              </w:tabs>
            </w:pPr>
            <w:r w:rsidRPr="00FA6E83">
              <w:lastRenderedPageBreak/>
              <w:t>Recommendation</w:t>
            </w:r>
            <w:r w:rsidR="00807F51">
              <w:t>s</w:t>
            </w:r>
            <w:r w:rsidRPr="00FA6E83">
              <w:t xml:space="preserve"> </w:t>
            </w:r>
            <w:r>
              <w:br/>
            </w:r>
            <w:r w:rsidRPr="00FA6E83">
              <w:t>for Practitioners</w:t>
            </w:r>
          </w:p>
        </w:tc>
        <w:tc>
          <w:tcPr>
            <w:tcW w:w="6809" w:type="dxa"/>
          </w:tcPr>
          <w:p w:rsidR="00FA6E83" w:rsidRPr="00FA6E83" w:rsidRDefault="00D87C7C" w:rsidP="00F2773F">
            <w:pPr>
              <w:pStyle w:val="PaperInfo"/>
              <w:tabs>
                <w:tab w:val="clear" w:pos="2880"/>
              </w:tabs>
            </w:pPr>
            <w:r>
              <w:t xml:space="preserve">To be successful contributors to work-based research, practitioners need to reflect carefully and deeply on </w:t>
            </w:r>
            <w:r w:rsidR="001D64D8">
              <w:t>experience, planning and outcomes</w:t>
            </w:r>
            <w:r>
              <w:t>, using what in this paper we call ‘micro-reflective’</w:t>
            </w:r>
            <w:r w:rsidR="001D64D8">
              <w:t xml:space="preserve"> (personal)</w:t>
            </w:r>
            <w:r>
              <w:t xml:space="preserve"> and ‘macro-reflective’ </w:t>
            </w:r>
            <w:r w:rsidR="001D64D8">
              <w:t xml:space="preserve">(program) </w:t>
            </w:r>
            <w:r>
              <w:t>cycles of ref</w:t>
            </w:r>
            <w:r w:rsidR="001D64D8">
              <w:t>lection</w:t>
            </w:r>
            <w:r>
              <w:t>.</w:t>
            </w:r>
          </w:p>
        </w:tc>
      </w:tr>
      <w:tr w:rsidR="00FA6E83" w:rsidRPr="00FA6E83" w:rsidTr="00ED2F72">
        <w:trPr>
          <w:gridAfter w:val="1"/>
          <w:wAfter w:w="142" w:type="dxa"/>
        </w:trPr>
        <w:tc>
          <w:tcPr>
            <w:tcW w:w="1980" w:type="dxa"/>
          </w:tcPr>
          <w:p w:rsidR="00FA6E83" w:rsidRPr="00FA6E83" w:rsidRDefault="00FA6E83" w:rsidP="00F2773F">
            <w:pPr>
              <w:pStyle w:val="PaperInfo"/>
              <w:tabs>
                <w:tab w:val="clear" w:pos="2880"/>
              </w:tabs>
            </w:pPr>
            <w:r w:rsidRPr="00FA6E83">
              <w:t xml:space="preserve">Recommendation </w:t>
            </w:r>
            <w:r>
              <w:br/>
            </w:r>
            <w:r w:rsidRPr="00FA6E83">
              <w:t xml:space="preserve">for Researchers </w:t>
            </w:r>
          </w:p>
        </w:tc>
        <w:tc>
          <w:tcPr>
            <w:tcW w:w="6809" w:type="dxa"/>
          </w:tcPr>
          <w:p w:rsidR="00FA6E83" w:rsidRPr="00FA6E83" w:rsidRDefault="00760E28" w:rsidP="00F2773F">
            <w:pPr>
              <w:pStyle w:val="PaperInfo"/>
              <w:tabs>
                <w:tab w:val="clear" w:pos="2880"/>
              </w:tabs>
            </w:pPr>
            <w:r>
              <w:rPr>
                <w:noProof/>
              </w:rPr>
              <w:t>In addition to</w:t>
            </w:r>
            <w:r w:rsidRPr="005E15C8">
              <w:rPr>
                <w:noProof/>
              </w:rPr>
              <w:t xml:space="preserve"> generat</w:t>
            </w:r>
            <w:r>
              <w:rPr>
                <w:noProof/>
              </w:rPr>
              <w:t>ing</w:t>
            </w:r>
            <w:r w:rsidRPr="005E15C8">
              <w:rPr>
                <w:noProof/>
              </w:rPr>
              <w:t xml:space="preserve"> new knowledge and expand</w:t>
            </w:r>
            <w:r>
              <w:rPr>
                <w:noProof/>
              </w:rPr>
              <w:t>ing</w:t>
            </w:r>
            <w:r w:rsidRPr="005E15C8">
              <w:rPr>
                <w:noProof/>
              </w:rPr>
              <w:t xml:space="preserve"> the frontiers of </w:t>
            </w:r>
            <w:r w:rsidR="00A34AE0">
              <w:rPr>
                <w:noProof/>
              </w:rPr>
              <w:t>workplaces</w:t>
            </w:r>
            <w:r>
              <w:rPr>
                <w:noProof/>
              </w:rPr>
              <w:t>,</w:t>
            </w:r>
            <w:r w:rsidRPr="005E15C8">
              <w:rPr>
                <w:noProof/>
              </w:rPr>
              <w:t xml:space="preserve"> work-based research</w:t>
            </w:r>
            <w:r>
              <w:rPr>
                <w:noProof/>
              </w:rPr>
              <w:t xml:space="preserve"> is often</w:t>
            </w:r>
            <w:r w:rsidRPr="005E15C8">
              <w:rPr>
                <w:noProof/>
              </w:rPr>
              <w:t xml:space="preserve"> motivat</w:t>
            </w:r>
            <w:r>
              <w:rPr>
                <w:noProof/>
              </w:rPr>
              <w:t>ed</w:t>
            </w:r>
            <w:r w:rsidRPr="005E15C8">
              <w:rPr>
                <w:noProof/>
              </w:rPr>
              <w:t xml:space="preserve"> </w:t>
            </w:r>
            <w:r w:rsidR="00E25E52">
              <w:rPr>
                <w:noProof/>
              </w:rPr>
              <w:t xml:space="preserve">by </w:t>
            </w:r>
            <w:r w:rsidRPr="005E15C8">
              <w:rPr>
                <w:noProof/>
              </w:rPr>
              <w:t>complicated and wide-reaching</w:t>
            </w:r>
            <w:r>
              <w:rPr>
                <w:noProof/>
              </w:rPr>
              <w:t xml:space="preserve"> imperatives; work-based researchers therefore </w:t>
            </w:r>
            <w:r w:rsidR="00A34AE0">
              <w:rPr>
                <w:noProof/>
              </w:rPr>
              <w:t xml:space="preserve">need to </w:t>
            </w:r>
            <w:r w:rsidR="00FE4E27">
              <w:rPr>
                <w:noProof/>
              </w:rPr>
              <w:t xml:space="preserve">consider the </w:t>
            </w:r>
            <w:r w:rsidR="00FE4E27" w:rsidRPr="005E15C8">
              <w:rPr>
                <w:noProof/>
              </w:rPr>
              <w:t xml:space="preserve">goals, objectives, priorities and vision </w:t>
            </w:r>
            <w:r w:rsidR="00FE4E27">
              <w:rPr>
                <w:noProof/>
              </w:rPr>
              <w:t>of their work environments, as well as understand</w:t>
            </w:r>
            <w:r w:rsidR="00A34AE0">
              <w:rPr>
                <w:noProof/>
              </w:rPr>
              <w:t xml:space="preserve"> issues related </w:t>
            </w:r>
            <w:r w:rsidR="00D61F67">
              <w:rPr>
                <w:noProof/>
              </w:rPr>
              <w:t xml:space="preserve">to </w:t>
            </w:r>
            <w:r w:rsidR="00A34AE0">
              <w:rPr>
                <w:noProof/>
              </w:rPr>
              <w:t>bias, ethic</w:t>
            </w:r>
            <w:r w:rsidR="00D61F67">
              <w:rPr>
                <w:noProof/>
              </w:rPr>
              <w:t>al</w:t>
            </w:r>
            <w:r w:rsidR="00FE4E27">
              <w:rPr>
                <w:noProof/>
              </w:rPr>
              <w:t xml:space="preserve"> practice</w:t>
            </w:r>
            <w:r w:rsidR="00A34AE0">
              <w:rPr>
                <w:noProof/>
              </w:rPr>
              <w:t xml:space="preserve"> and </w:t>
            </w:r>
            <w:r w:rsidR="00FE4E27">
              <w:rPr>
                <w:noProof/>
              </w:rPr>
              <w:t xml:space="preserve">the nature of </w:t>
            </w:r>
            <w:r w:rsidR="00A34AE0">
              <w:rPr>
                <w:noProof/>
              </w:rPr>
              <w:t>insider</w:t>
            </w:r>
            <w:r w:rsidR="00D61F67">
              <w:rPr>
                <w:noProof/>
              </w:rPr>
              <w:t xml:space="preserve"> </w:t>
            </w:r>
            <w:r w:rsidR="00A34AE0">
              <w:rPr>
                <w:noProof/>
              </w:rPr>
              <w:t>research</w:t>
            </w:r>
            <w:r w:rsidR="00FE4E27">
              <w:rPr>
                <w:noProof/>
              </w:rPr>
              <w:t>.</w:t>
            </w:r>
          </w:p>
        </w:tc>
      </w:tr>
      <w:tr w:rsidR="00FA6E83" w:rsidRPr="00FA6E83" w:rsidTr="00ED2F72">
        <w:trPr>
          <w:gridAfter w:val="1"/>
          <w:wAfter w:w="142" w:type="dxa"/>
        </w:trPr>
        <w:tc>
          <w:tcPr>
            <w:tcW w:w="1980" w:type="dxa"/>
          </w:tcPr>
          <w:p w:rsidR="00FA6E83" w:rsidRPr="00FA6E83" w:rsidRDefault="00ED1338" w:rsidP="00F2773F">
            <w:pPr>
              <w:pStyle w:val="PaperInfo"/>
              <w:tabs>
                <w:tab w:val="clear" w:pos="2880"/>
              </w:tabs>
            </w:pPr>
            <w:r>
              <w:t>Impact</w:t>
            </w:r>
            <w:r w:rsidR="00807F51">
              <w:t xml:space="preserve"> on Society</w:t>
            </w:r>
          </w:p>
        </w:tc>
        <w:tc>
          <w:tcPr>
            <w:tcW w:w="6809" w:type="dxa"/>
          </w:tcPr>
          <w:p w:rsidR="00FA6E83" w:rsidRPr="00FA6E83" w:rsidRDefault="00B5324C" w:rsidP="00F2773F">
            <w:pPr>
              <w:pStyle w:val="PaperInfo"/>
              <w:tabs>
                <w:tab w:val="clear" w:pos="2880"/>
              </w:tabs>
            </w:pPr>
            <w:r>
              <w:rPr>
                <w:noProof/>
              </w:rPr>
              <w:t>W</w:t>
            </w:r>
            <w:r w:rsidRPr="005E15C8">
              <w:rPr>
                <w:noProof/>
              </w:rPr>
              <w:t>ork-based learning and research address the complexities, challenges and future demands of Australian workplaces along with the work, mobility and personal development needs of mid-</w:t>
            </w:r>
            <w:r w:rsidR="00D0296C">
              <w:rPr>
                <w:noProof/>
              </w:rPr>
              <w:t xml:space="preserve"> to senior-</w:t>
            </w:r>
            <w:r w:rsidRPr="005E15C8">
              <w:rPr>
                <w:noProof/>
              </w:rPr>
              <w:t>career professionals</w:t>
            </w:r>
            <w:r>
              <w:rPr>
                <w:noProof/>
              </w:rPr>
              <w:t>.</w:t>
            </w:r>
          </w:p>
        </w:tc>
      </w:tr>
      <w:tr w:rsidR="00FA6E83" w:rsidRPr="00FA6E83" w:rsidTr="00ED2F72">
        <w:trPr>
          <w:gridAfter w:val="1"/>
          <w:wAfter w:w="142" w:type="dxa"/>
        </w:trPr>
        <w:tc>
          <w:tcPr>
            <w:tcW w:w="1980" w:type="dxa"/>
          </w:tcPr>
          <w:p w:rsidR="00FA6E83" w:rsidRPr="00FA6E83" w:rsidRDefault="00FA6E83" w:rsidP="00F2773F">
            <w:pPr>
              <w:pStyle w:val="PaperInfo"/>
              <w:tabs>
                <w:tab w:val="clear" w:pos="2880"/>
              </w:tabs>
            </w:pPr>
            <w:r w:rsidRPr="00FA6E83">
              <w:t>Future Research</w:t>
            </w:r>
          </w:p>
        </w:tc>
        <w:tc>
          <w:tcPr>
            <w:tcW w:w="6809" w:type="dxa"/>
          </w:tcPr>
          <w:p w:rsidR="00FA6E83" w:rsidRPr="00FA6E83" w:rsidRDefault="00B5324C" w:rsidP="00F2773F">
            <w:pPr>
              <w:pStyle w:val="PaperInfo"/>
              <w:tabs>
                <w:tab w:val="clear" w:pos="2880"/>
              </w:tabs>
            </w:pPr>
            <w:r>
              <w:t>In addition to the multitude of action research programs possible in wor</w:t>
            </w:r>
            <w:r>
              <w:t>k</w:t>
            </w:r>
            <w:r>
              <w:t xml:space="preserve">places in Australia, more research is needed to understand higher education work-based learning and its relation to, and impact on, work-based research, particularly </w:t>
            </w:r>
            <w:r w:rsidR="00E25E52">
              <w:t xml:space="preserve">when applying </w:t>
            </w:r>
            <w:r>
              <w:t>mixed methods research</w:t>
            </w:r>
            <w:r w:rsidR="008C7079">
              <w:t xml:space="preserve"> to work environments</w:t>
            </w:r>
            <w:r w:rsidR="00AD6728">
              <w:t>.</w:t>
            </w:r>
          </w:p>
        </w:tc>
      </w:tr>
      <w:tr w:rsidR="00FA6E83" w:rsidRPr="00FA6E83" w:rsidTr="00ED2F72">
        <w:trPr>
          <w:gridAfter w:val="1"/>
          <w:wAfter w:w="142" w:type="dxa"/>
        </w:trPr>
        <w:tc>
          <w:tcPr>
            <w:tcW w:w="1980" w:type="dxa"/>
          </w:tcPr>
          <w:p w:rsidR="00FA6E83" w:rsidRPr="00FA6E83" w:rsidRDefault="00FA6E83" w:rsidP="00F2773F">
            <w:pPr>
              <w:pStyle w:val="PaperInfo"/>
              <w:tabs>
                <w:tab w:val="clear" w:pos="2880"/>
              </w:tabs>
            </w:pPr>
            <w:r>
              <w:t>Keywords</w:t>
            </w:r>
          </w:p>
        </w:tc>
        <w:tc>
          <w:tcPr>
            <w:tcW w:w="6809" w:type="dxa"/>
          </w:tcPr>
          <w:p w:rsidR="00FA6E83" w:rsidRPr="00127ED2" w:rsidRDefault="00756154" w:rsidP="00F2773F">
            <w:pPr>
              <w:pStyle w:val="PaperInfo"/>
              <w:tabs>
                <w:tab w:val="clear" w:pos="2880"/>
              </w:tabs>
            </w:pPr>
            <w:r>
              <w:rPr>
                <w:noProof/>
              </w:rPr>
              <w:t>w</w:t>
            </w:r>
            <w:r w:rsidR="00566612" w:rsidRPr="00566612">
              <w:rPr>
                <w:noProof/>
              </w:rPr>
              <w:t>ork-based learning, work-based research, professional studies, reflective practice, mixed methods</w:t>
            </w:r>
            <w:r w:rsidR="00B5324C">
              <w:rPr>
                <w:noProof/>
              </w:rPr>
              <w:t xml:space="preserve"> research</w:t>
            </w:r>
            <w:r w:rsidR="00566612" w:rsidRPr="00566612">
              <w:rPr>
                <w:noProof/>
              </w:rPr>
              <w:t>, action research</w:t>
            </w:r>
          </w:p>
        </w:tc>
      </w:tr>
      <w:bookmarkEnd w:id="1"/>
      <w:bookmarkEnd w:id="2"/>
      <w:bookmarkEnd w:id="4"/>
      <w:bookmarkEnd w:id="5"/>
      <w:bookmarkEnd w:id="6"/>
      <w:bookmarkEnd w:id="7"/>
    </w:tbl>
    <w:p w:rsidR="005E15C8" w:rsidRDefault="005E15C8" w:rsidP="005E15C8">
      <w:pPr>
        <w:autoSpaceDE w:val="0"/>
        <w:autoSpaceDN w:val="0"/>
        <w:adjustRightInd w:val="0"/>
        <w:spacing w:after="0"/>
        <w:jc w:val="both"/>
        <w:rPr>
          <w:noProof/>
        </w:rPr>
      </w:pPr>
    </w:p>
    <w:p w:rsidR="005E15C8" w:rsidRPr="009104AC" w:rsidRDefault="005E15C8" w:rsidP="009104AC">
      <w:pPr>
        <w:pStyle w:val="Heading1"/>
        <w:rPr>
          <w:noProof/>
        </w:rPr>
      </w:pPr>
      <w:r w:rsidRPr="009104AC">
        <w:t>Introduction</w:t>
      </w:r>
    </w:p>
    <w:p w:rsidR="005E15C8" w:rsidRPr="005E15C8" w:rsidRDefault="005E15C8" w:rsidP="007B3913">
      <w:pPr>
        <w:autoSpaceDE w:val="0"/>
        <w:autoSpaceDN w:val="0"/>
        <w:adjustRightInd w:val="0"/>
        <w:rPr>
          <w:noProof/>
        </w:rPr>
      </w:pPr>
      <w:r w:rsidRPr="005E15C8">
        <w:rPr>
          <w:noProof/>
        </w:rPr>
        <w:t>Modes of learning and teaching in many countries have undergone dramatic change over the last 25 years. Abandoned are the days of wise teachers serving as ‘agents of learning’ and ‘transmitters of knowledg</w:t>
      </w:r>
      <w:bookmarkStart w:id="11" w:name="_GoBack"/>
      <w:bookmarkEnd w:id="11"/>
      <w:r w:rsidRPr="005E15C8">
        <w:rPr>
          <w:noProof/>
        </w:rPr>
        <w:t xml:space="preserve">e’ and students as ‘passive and empty receptacles’ waiting patiently to absorb dispensed wisdom. Teachers are now ‘facilitators’ of individualised learning programs and, for well-established reasons, students increasingly self-direct their own study, a lot of which is often experience-based (Reece &amp; Walker, 2016). </w:t>
      </w:r>
    </w:p>
    <w:p w:rsidR="005E15C8" w:rsidRDefault="005E15C8" w:rsidP="00747491">
      <w:pPr>
        <w:rPr>
          <w:noProof/>
        </w:rPr>
      </w:pPr>
      <w:r w:rsidRPr="005E15C8">
        <w:rPr>
          <w:noProof/>
        </w:rPr>
        <w:t xml:space="preserve">This shift in learning and teaching has led to initiatives like “work-integrated learning” (Kaider &amp; Hains-Wesson, 2016), “community-based learning” (Hart &amp; Akhurst, 2017), and “blended learning” (De Vriendt, 2015), </w:t>
      </w:r>
      <w:r w:rsidR="008F4313">
        <w:rPr>
          <w:noProof/>
        </w:rPr>
        <w:t xml:space="preserve">and </w:t>
      </w:r>
      <w:r w:rsidRPr="005E15C8">
        <w:rPr>
          <w:noProof/>
        </w:rPr>
        <w:t>calls for greater integration of workplace learning into higher education and of higher education into the workplace (e.g., Yankelovich, 2006) and the rise of alternate forms of learning in the workplace (e.g., Bingham &amp; Connor, 2015; Cross, 2012; Jennings, 2012; Vaughan</w:t>
      </w:r>
      <w:r w:rsidR="00E6544E">
        <w:rPr>
          <w:noProof/>
        </w:rPr>
        <w:t xml:space="preserve">, </w:t>
      </w:r>
      <w:r w:rsidR="00E6544E">
        <w:t xml:space="preserve">O’Neil, </w:t>
      </w:r>
      <w:r w:rsidR="00E6544E" w:rsidRPr="00747491">
        <w:t>&amp; Cameron</w:t>
      </w:r>
      <w:r w:rsidRPr="005E15C8">
        <w:rPr>
          <w:noProof/>
        </w:rPr>
        <w:t xml:space="preserve">, 2011). Against this general social landscape and educational backdrop, a significant corpus of published literature also suggests an international trend away from a focus on enrolment in formal, discipline-based, tertiary education programs toward more broadly applied definitions and applications of knowledge and curricula to include work-based learning. Some educational theorists have suggested that this phenomenon is due to a growing disconnect between “the knowledge needed at work and the knowledge and skills produced through formal education” (Tynjälä, 2008, p. 131). </w:t>
      </w:r>
      <w:r w:rsidR="003C2D15">
        <w:rPr>
          <w:noProof/>
        </w:rPr>
        <w:t>(</w:t>
      </w:r>
      <w:r w:rsidRPr="005E15C8">
        <w:rPr>
          <w:noProof/>
        </w:rPr>
        <w:t>In this paper, we make the distinction between ‘</w:t>
      </w:r>
      <w:r w:rsidRPr="00D0296C">
        <w:rPr>
          <w:i/>
          <w:noProof/>
        </w:rPr>
        <w:t>workplace</w:t>
      </w:r>
      <w:r w:rsidRPr="005E15C8">
        <w:rPr>
          <w:noProof/>
        </w:rPr>
        <w:t xml:space="preserve"> learning and research’, which may occur in one’s ‘workplace’, and the preferable and more contemporary concept of ‘</w:t>
      </w:r>
      <w:r w:rsidRPr="00D0296C">
        <w:rPr>
          <w:i/>
          <w:noProof/>
        </w:rPr>
        <w:t>work-based</w:t>
      </w:r>
      <w:r w:rsidRPr="005E15C8">
        <w:rPr>
          <w:noProof/>
        </w:rPr>
        <w:t xml:space="preserve"> learning and research’, which may occur in one’s workplace but may also occur in one’s </w:t>
      </w:r>
      <w:r w:rsidR="00D0296C">
        <w:rPr>
          <w:noProof/>
        </w:rPr>
        <w:t xml:space="preserve">wider </w:t>
      </w:r>
      <w:r w:rsidRPr="005E15C8">
        <w:rPr>
          <w:noProof/>
        </w:rPr>
        <w:t xml:space="preserve">work environment, and is often therefore not associated with a ‘place’ of work </w:t>
      </w:r>
      <w:r w:rsidRPr="00D0296C">
        <w:rPr>
          <w:i/>
          <w:noProof/>
        </w:rPr>
        <w:t>per se</w:t>
      </w:r>
      <w:r w:rsidRPr="005E15C8">
        <w:rPr>
          <w:noProof/>
        </w:rPr>
        <w:t xml:space="preserve"> but a </w:t>
      </w:r>
      <w:r w:rsidR="002877DA">
        <w:rPr>
          <w:noProof/>
        </w:rPr>
        <w:t>‘</w:t>
      </w:r>
      <w:r w:rsidRPr="005E15C8">
        <w:rPr>
          <w:noProof/>
        </w:rPr>
        <w:t>domain of practice</w:t>
      </w:r>
      <w:r w:rsidR="002877DA">
        <w:rPr>
          <w:noProof/>
        </w:rPr>
        <w:t>’</w:t>
      </w:r>
      <w:r w:rsidRPr="005E15C8">
        <w:rPr>
          <w:noProof/>
        </w:rPr>
        <w:t>—a professional sphere in which one works—irrespective of the specific location in which one’s work is carried out.</w:t>
      </w:r>
      <w:r w:rsidR="003C2D15">
        <w:rPr>
          <w:noProof/>
        </w:rPr>
        <w:t>)</w:t>
      </w:r>
    </w:p>
    <w:p w:rsidR="005E15C8" w:rsidRDefault="005E15C8" w:rsidP="007B3913">
      <w:pPr>
        <w:widowControl w:val="0"/>
        <w:autoSpaceDE w:val="0"/>
        <w:autoSpaceDN w:val="0"/>
        <w:adjustRightInd w:val="0"/>
        <w:ind w:right="60"/>
        <w:rPr>
          <w:noProof/>
        </w:rPr>
      </w:pPr>
      <w:r w:rsidRPr="005E15C8">
        <w:rPr>
          <w:noProof/>
        </w:rPr>
        <w:t>During this same period, the global world of work has confronted similar seismic shifts as those documented in learning and teaching. Theorists earlier in the century maintained that such fundamental transformations have the potential to “change the face of work and industry, and establish new economic and political powers on the global scene” (Silberglitt</w:t>
      </w:r>
      <w:r w:rsidR="00E6544E">
        <w:rPr>
          <w:noProof/>
        </w:rPr>
        <w:t>,</w:t>
      </w:r>
      <w:r w:rsidR="00E6544E" w:rsidRPr="00E6544E">
        <w:t xml:space="preserve"> </w:t>
      </w:r>
      <w:r w:rsidR="00E6544E" w:rsidRPr="00747491">
        <w:t>Anton, Howell, &amp; Wong</w:t>
      </w:r>
      <w:r w:rsidRPr="005E15C8">
        <w:rPr>
          <w:noProof/>
        </w:rPr>
        <w:t xml:space="preserve">, 2006, p. 1). As a result, according to Cross (2012, p. 3), the workplace has “changed </w:t>
      </w:r>
      <w:r w:rsidRPr="005E15C8">
        <w:rPr>
          <w:noProof/>
        </w:rPr>
        <w:lastRenderedPageBreak/>
        <w:t>inexorably [in the last 20 years]. Business has become unpredictable. Results are asymmetric. Everyone’s connected. Value has migrated to intangibles. Organisations are becoming organic. Talent choses where to work. Power is shifting from suppliers to customers. Learning and work are converging. Time has sped up</w:t>
      </w:r>
      <w:r w:rsidR="008F4313">
        <w:rPr>
          <w:noProof/>
        </w:rPr>
        <w:t>.”</w:t>
      </w:r>
    </w:p>
    <w:p w:rsidR="005E15C8" w:rsidRPr="005E15C8" w:rsidRDefault="005E15C8" w:rsidP="007B3913">
      <w:pPr>
        <w:widowControl w:val="0"/>
        <w:autoSpaceDE w:val="0"/>
        <w:autoSpaceDN w:val="0"/>
        <w:adjustRightInd w:val="0"/>
        <w:ind w:right="60"/>
        <w:rPr>
          <w:noProof/>
        </w:rPr>
      </w:pPr>
      <w:r w:rsidRPr="005E15C8">
        <w:rPr>
          <w:noProof/>
        </w:rPr>
        <w:t xml:space="preserve">Many of the knowledges and skills needed to successfully navigate and thrive in such rapidly changing technological work and knowledge environments can’t be picked up in books or learned in classrooms because workers acquire most of what they know “through doing rather than through knowing. Added to this there is an emerging appreciation of the important role that context plays in any learning” (Jennings, 2012, p. 1). Thus, work-based learning has arisen to address some of these concerns by integrating ‘work experience’ with practice, scholarship and research, and by “exploiting the limited time and [training] budgets available to organisations so they can realise increased performance improvement, greater employee development opportunities and improved flexibility in the provision of learning opportunities to the workforce” (Jennings, 2012, p. 1).  </w:t>
      </w:r>
    </w:p>
    <w:p w:rsidR="005E15C8" w:rsidRPr="005E15C8" w:rsidRDefault="005E15C8" w:rsidP="005F0C52">
      <w:pPr>
        <w:widowControl w:val="0"/>
        <w:autoSpaceDE w:val="0"/>
        <w:autoSpaceDN w:val="0"/>
        <w:adjustRightInd w:val="0"/>
        <w:ind w:right="60"/>
        <w:rPr>
          <w:noProof/>
        </w:rPr>
      </w:pPr>
      <w:r w:rsidRPr="005E15C8">
        <w:rPr>
          <w:noProof/>
        </w:rPr>
        <w:t>Lester and Costley (2010, p. 562) point out that work-based learning is not only “situated in the workplace [but] arises directly out of workplace concerns”. In fact, Tynjälä (2008) has argued that the aforementioned changes in education are a direct consequence of the technological upheavals occurring in society and the world of work as a whole when she points out that</w:t>
      </w:r>
      <w:r w:rsidR="008F4313">
        <w:rPr>
          <w:noProof/>
        </w:rPr>
        <w:t>:</w:t>
      </w:r>
    </w:p>
    <w:p w:rsidR="005E15C8" w:rsidRPr="005E15C8" w:rsidRDefault="008F4313" w:rsidP="00756154">
      <w:pPr>
        <w:widowControl w:val="0"/>
        <w:autoSpaceDE w:val="0"/>
        <w:autoSpaceDN w:val="0"/>
        <w:adjustRightInd w:val="0"/>
        <w:ind w:left="567" w:right="402"/>
        <w:rPr>
          <w:noProof/>
        </w:rPr>
      </w:pPr>
      <w:r>
        <w:rPr>
          <w:noProof/>
        </w:rPr>
        <w:t>[T]</w:t>
      </w:r>
      <w:r w:rsidR="005E15C8" w:rsidRPr="005E15C8">
        <w:rPr>
          <w:noProof/>
        </w:rPr>
        <w:t>he rapid development of information and communications technology, the growing production of knowledge in the economy, increasing internationalization and globalization as well as changes in occupational structures and in the contents and organisation of work have challenged not only educational institutions but also work organisations to develop new ways of ensuring that the level of competence of the workforce meets these challenges. Thus, continuous learning has become important both for individuals operating in the learning society and for organizations com</w:t>
      </w:r>
      <w:r>
        <w:rPr>
          <w:noProof/>
        </w:rPr>
        <w:t>peting in international markets</w:t>
      </w:r>
      <w:r w:rsidR="005E15C8" w:rsidRPr="005E15C8">
        <w:rPr>
          <w:noProof/>
        </w:rPr>
        <w:t xml:space="preserve"> (p. 131)</w:t>
      </w:r>
      <w:r>
        <w:rPr>
          <w:noProof/>
        </w:rPr>
        <w:t>.</w:t>
      </w:r>
    </w:p>
    <w:p w:rsidR="005E15C8" w:rsidRPr="005E15C8" w:rsidRDefault="005E15C8" w:rsidP="007B3913">
      <w:pPr>
        <w:widowControl w:val="0"/>
        <w:autoSpaceDE w:val="0"/>
        <w:autoSpaceDN w:val="0"/>
        <w:adjustRightInd w:val="0"/>
        <w:ind w:right="60"/>
        <w:rPr>
          <w:noProof/>
        </w:rPr>
      </w:pPr>
      <w:r w:rsidRPr="005E15C8">
        <w:rPr>
          <w:noProof/>
        </w:rPr>
        <w:t>Work-based learning is distinguished by what it is not: it is not training; it is not formal; it is not focused narrowly on skills; it is not about individuals; it is not disconnected from the needs and interests of society; and it is not a mere relocation of learning from the classroom to the workplace—it represents a complete rethinking of “shared meanings, ideas, behaviours and attitudes” (Manuti</w:t>
      </w:r>
      <w:r w:rsidR="003653CE">
        <w:rPr>
          <w:noProof/>
        </w:rPr>
        <w:t xml:space="preserve">, </w:t>
      </w:r>
      <w:proofErr w:type="spellStart"/>
      <w:r w:rsidR="003653CE" w:rsidRPr="00747491">
        <w:t>Pastore</w:t>
      </w:r>
      <w:proofErr w:type="spellEnd"/>
      <w:r w:rsidR="003653CE" w:rsidRPr="00747491">
        <w:t xml:space="preserve">, </w:t>
      </w:r>
      <w:proofErr w:type="spellStart"/>
      <w:r w:rsidR="003653CE" w:rsidRPr="00747491">
        <w:t>Scardigno</w:t>
      </w:r>
      <w:proofErr w:type="spellEnd"/>
      <w:r w:rsidR="003653CE" w:rsidRPr="00747491">
        <w:t xml:space="preserve">, </w:t>
      </w:r>
      <w:proofErr w:type="spellStart"/>
      <w:r w:rsidR="003653CE" w:rsidRPr="00747491">
        <w:t>Giancaspro</w:t>
      </w:r>
      <w:proofErr w:type="spellEnd"/>
      <w:r w:rsidR="003653CE" w:rsidRPr="00747491">
        <w:t xml:space="preserve">, </w:t>
      </w:r>
      <w:r w:rsidR="008F4313">
        <w:t xml:space="preserve">&amp; </w:t>
      </w:r>
      <w:proofErr w:type="spellStart"/>
      <w:r w:rsidR="003653CE" w:rsidRPr="003653CE">
        <w:t>Morciano</w:t>
      </w:r>
      <w:proofErr w:type="spellEnd"/>
      <w:r w:rsidRPr="005E15C8">
        <w:rPr>
          <w:noProof/>
        </w:rPr>
        <w:t xml:space="preserve">, 2015, p. 2). The three basic axioms of work-based learning can, according to Manuti et al. (2015, p. 3), therefore be defined as: </w:t>
      </w:r>
      <w:r w:rsidR="008F4313">
        <w:rPr>
          <w:noProof/>
        </w:rPr>
        <w:t>(</w:t>
      </w:r>
      <w:r w:rsidRPr="005E15C8">
        <w:rPr>
          <w:noProof/>
        </w:rPr>
        <w:t xml:space="preserve">1) workplaces are legitimate and worthy sites at which learning can occur; </w:t>
      </w:r>
      <w:r w:rsidR="008F4313">
        <w:rPr>
          <w:noProof/>
        </w:rPr>
        <w:t>(</w:t>
      </w:r>
      <w:r w:rsidRPr="005E15C8">
        <w:rPr>
          <w:noProof/>
        </w:rPr>
        <w:t xml:space="preserve">2) workplaces should be seen as learning environments; and </w:t>
      </w:r>
      <w:r w:rsidR="008F4313">
        <w:rPr>
          <w:noProof/>
        </w:rPr>
        <w:t>(</w:t>
      </w:r>
      <w:r w:rsidRPr="005E15C8">
        <w:rPr>
          <w:noProof/>
        </w:rPr>
        <w:t xml:space="preserve">3) learning and working are inextricably linked. This recognition differs from the traditional and standard paradigm of learning, which: </w:t>
      </w:r>
      <w:r w:rsidR="008F4313">
        <w:rPr>
          <w:noProof/>
        </w:rPr>
        <w:t>(</w:t>
      </w:r>
      <w:r w:rsidRPr="005E15C8">
        <w:rPr>
          <w:noProof/>
        </w:rPr>
        <w:t xml:space="preserve">a) emphasises individual mind as the primary vehicle through which cognitive power and meanings are acquired and accumulated; </w:t>
      </w:r>
      <w:r w:rsidR="008F4313">
        <w:rPr>
          <w:noProof/>
        </w:rPr>
        <w:t>(</w:t>
      </w:r>
      <w:r w:rsidRPr="005E15C8">
        <w:rPr>
          <w:noProof/>
        </w:rPr>
        <w:t xml:space="preserve">b) elevates the ‘interiority’ of the mind as separate and superior to the outside world; and </w:t>
      </w:r>
      <w:r w:rsidR="008F4313">
        <w:rPr>
          <w:noProof/>
        </w:rPr>
        <w:t>(</w:t>
      </w:r>
      <w:r w:rsidRPr="005E15C8">
        <w:rPr>
          <w:noProof/>
        </w:rPr>
        <w:t>c) accentuates the uniformity of formal, codified aims and measurable outcomes (Tynjälä, 2008, p. 131).</w:t>
      </w:r>
    </w:p>
    <w:p w:rsidR="005E15C8" w:rsidRDefault="005E15C8" w:rsidP="007B3913">
      <w:pPr>
        <w:widowControl w:val="0"/>
        <w:autoSpaceDE w:val="0"/>
        <w:autoSpaceDN w:val="0"/>
        <w:adjustRightInd w:val="0"/>
        <w:ind w:right="60"/>
        <w:rPr>
          <w:noProof/>
        </w:rPr>
      </w:pPr>
      <w:r w:rsidRPr="005E15C8">
        <w:rPr>
          <w:noProof/>
        </w:rPr>
        <w:t xml:space="preserve">Work-based learning, particularly as it is encouraged in higher education when professionals enter the academic world, complements these elements with not only a paradigm of ‘learning through action’ (as discussed below in more detail) but also </w:t>
      </w:r>
      <w:r w:rsidR="00F93297">
        <w:rPr>
          <w:noProof/>
        </w:rPr>
        <w:t>configur</w:t>
      </w:r>
      <w:r w:rsidRPr="005E15C8">
        <w:rPr>
          <w:noProof/>
        </w:rPr>
        <w:t>es learning as a contextual, infor</w:t>
      </w:r>
      <w:r w:rsidR="008F4313">
        <w:rPr>
          <w:noProof/>
        </w:rPr>
        <w:t xml:space="preserve">mal, and social phenomenon that </w:t>
      </w:r>
      <w:r w:rsidRPr="005E15C8">
        <w:rPr>
          <w:noProof/>
        </w:rPr>
        <w:t>generates new forms of tacit, yet integrated, knowledge. In this sense, work-based learning, Tynjälä (2008, p. 132) argues, can be “characterised as creating new modes of action, new practices, new procedures and new products”, and thereafter she makes a persuasive case for the learning of groups, the learning of communities, the learning of organisations, and the inter-organisational learning of networks and regions.</w:t>
      </w:r>
    </w:p>
    <w:p w:rsidR="00D63624" w:rsidRDefault="005E15C8" w:rsidP="005F0C52">
      <w:pPr>
        <w:widowControl w:val="0"/>
        <w:autoSpaceDE w:val="0"/>
        <w:autoSpaceDN w:val="0"/>
        <w:adjustRightInd w:val="0"/>
        <w:ind w:right="60"/>
        <w:rPr>
          <w:noProof/>
        </w:rPr>
      </w:pPr>
      <w:r w:rsidRPr="005E15C8">
        <w:rPr>
          <w:noProof/>
        </w:rPr>
        <w:t xml:space="preserve">The purpose of this study is to specifically examine work-based learning in relation to work-based research, and to identify evidence of both in the Professional Studies Program as conceived and implemented at the University of Southern Queensland (USQ) in Australia </w:t>
      </w:r>
      <w:r w:rsidRPr="0015066E">
        <w:rPr>
          <w:noProof/>
        </w:rPr>
        <w:t xml:space="preserve">(a second, companion </w:t>
      </w:r>
      <w:r w:rsidRPr="0015066E">
        <w:rPr>
          <w:noProof/>
        </w:rPr>
        <w:lastRenderedPageBreak/>
        <w:t>paper will separately consider two research case studies currently being conducted in the Australian work-based learning and research context</w:t>
      </w:r>
      <w:r w:rsidR="0015066E" w:rsidRPr="0015066E">
        <w:rPr>
          <w:noProof/>
        </w:rPr>
        <w:t xml:space="preserve"> (</w:t>
      </w:r>
      <w:r w:rsidR="0015066E" w:rsidRPr="0015066E">
        <w:t xml:space="preserve">Fergusson, L., Allred, T., Dux, T., &amp; </w:t>
      </w:r>
      <w:proofErr w:type="spellStart"/>
      <w:r w:rsidR="0015066E" w:rsidRPr="0015066E">
        <w:t>Muianga</w:t>
      </w:r>
      <w:proofErr w:type="spellEnd"/>
      <w:r w:rsidR="0015066E" w:rsidRPr="0015066E">
        <w:t>, 201</w:t>
      </w:r>
      <w:r w:rsidR="0015066E">
        <w:t>8</w:t>
      </w:r>
      <w:r w:rsidR="0015066E">
        <w:rPr>
          <w:noProof/>
        </w:rPr>
        <w:t>)</w:t>
      </w:r>
      <w:r w:rsidRPr="005E15C8">
        <w:rPr>
          <w:noProof/>
        </w:rPr>
        <w:t xml:space="preserve">). </w:t>
      </w:r>
    </w:p>
    <w:p w:rsidR="00FE4D12" w:rsidRDefault="005E15C8" w:rsidP="005F0C52">
      <w:pPr>
        <w:widowControl w:val="0"/>
        <w:autoSpaceDE w:val="0"/>
        <w:autoSpaceDN w:val="0"/>
        <w:adjustRightInd w:val="0"/>
        <w:ind w:right="60"/>
        <w:rPr>
          <w:noProof/>
        </w:rPr>
      </w:pPr>
      <w:r w:rsidRPr="005E15C8">
        <w:rPr>
          <w:noProof/>
        </w:rPr>
        <w:t>The paper is</w:t>
      </w:r>
      <w:r w:rsidR="00F703BE">
        <w:rPr>
          <w:noProof/>
        </w:rPr>
        <w:t>,</w:t>
      </w:r>
      <w:r w:rsidRPr="005E15C8">
        <w:rPr>
          <w:noProof/>
        </w:rPr>
        <w:t xml:space="preserve"> therefore</w:t>
      </w:r>
      <w:r w:rsidR="00F703BE">
        <w:rPr>
          <w:noProof/>
        </w:rPr>
        <w:t>,</w:t>
      </w:r>
      <w:r w:rsidRPr="005E15C8">
        <w:rPr>
          <w:noProof/>
        </w:rPr>
        <w:t xml:space="preserve"> organised into two main sections: an explanation of work-based research; and a description of the Professional Studies Program at USQ and its relation to work-based learning and research.</w:t>
      </w:r>
    </w:p>
    <w:p w:rsidR="005E15C8" w:rsidRPr="005F0C52" w:rsidRDefault="00154A59" w:rsidP="009104AC">
      <w:pPr>
        <w:pStyle w:val="Heading1"/>
        <w:rPr>
          <w:noProof/>
          <w:u w:val="single"/>
        </w:rPr>
      </w:pPr>
      <w:r w:rsidRPr="009104AC">
        <w:t xml:space="preserve">Work-based </w:t>
      </w:r>
      <w:r w:rsidR="005F0C52" w:rsidRPr="009104AC">
        <w:t>R</w:t>
      </w:r>
      <w:r w:rsidRPr="009104AC">
        <w:t>esearch</w:t>
      </w:r>
    </w:p>
    <w:p w:rsidR="009C55E2" w:rsidRDefault="005E15C8" w:rsidP="007B3913">
      <w:pPr>
        <w:rPr>
          <w:noProof/>
        </w:rPr>
      </w:pPr>
      <w:bookmarkStart w:id="12" w:name="_Hlk499810184"/>
      <w:r w:rsidRPr="005C2352">
        <w:rPr>
          <w:noProof/>
        </w:rPr>
        <w:t>Work</w:t>
      </w:r>
      <w:r w:rsidRPr="005E15C8">
        <w:rPr>
          <w:noProof/>
        </w:rPr>
        <w:t>-based research is</w:t>
      </w:r>
      <w:r w:rsidR="00F41BD5">
        <w:rPr>
          <w:noProof/>
        </w:rPr>
        <w:t xml:space="preserve"> similar to</w:t>
      </w:r>
      <w:r w:rsidRPr="005E15C8">
        <w:rPr>
          <w:noProof/>
        </w:rPr>
        <w:t xml:space="preserve"> other approaches to gaining knowledge</w:t>
      </w:r>
      <w:bookmarkEnd w:id="12"/>
      <w:r w:rsidRPr="005E15C8">
        <w:rPr>
          <w:noProof/>
        </w:rPr>
        <w:t xml:space="preserve"> when applying the scientific method; it</w:t>
      </w:r>
      <w:r w:rsidR="00377310">
        <w:rPr>
          <w:noProof/>
        </w:rPr>
        <w:t>, too,</w:t>
      </w:r>
      <w:r w:rsidRPr="005E15C8">
        <w:rPr>
          <w:noProof/>
        </w:rPr>
        <w:t xml:space="preserve"> represents the systematic study of materials and phenomena in order to answer questions, establish facts, and reach new conclusions. However, several distinctly unique features identify the</w:t>
      </w:r>
      <w:r w:rsidR="00377310">
        <w:rPr>
          <w:noProof/>
        </w:rPr>
        <w:t xml:space="preserve"> work-based</w:t>
      </w:r>
      <w:r w:rsidRPr="005E15C8">
        <w:rPr>
          <w:noProof/>
        </w:rPr>
        <w:t xml:space="preserve"> approach. </w:t>
      </w:r>
    </w:p>
    <w:p w:rsidR="005E15C8" w:rsidRPr="005E15C8" w:rsidRDefault="005E15C8" w:rsidP="007B3913">
      <w:pPr>
        <w:rPr>
          <w:noProof/>
        </w:rPr>
      </w:pPr>
      <w:r w:rsidRPr="005E15C8">
        <w:rPr>
          <w:noProof/>
        </w:rPr>
        <w:t xml:space="preserve">For example, unlike research environments in which variables can be controlled and tested in order to make reliable and definitive statements, work-based research is usually conducted in complex (what some practitioners call “messy” [e.g., O’Leary &amp; Hunt, 2016, p. 10]) work and organisational environments, and these may be constantly changing; oftentimes this complexity and change suggest new challenges and opportunities, but may also pose new, unforeseen risks. Moreover, such research settings are generally occupied by multiple stakeholders, including managers, board members, peers, suppliers, and consultants, each of </w:t>
      </w:r>
      <w:r w:rsidR="005C2352">
        <w:rPr>
          <w:noProof/>
        </w:rPr>
        <w:t>whom</w:t>
      </w:r>
      <w:r w:rsidRPr="005E15C8">
        <w:rPr>
          <w:noProof/>
        </w:rPr>
        <w:t xml:space="preserve"> may affect context and outcomes. Together, these factors make work-based research dynamic, innovative and above all ‘applied’, in the sense that it is ‘change-oriented research’.</w:t>
      </w:r>
    </w:p>
    <w:p w:rsidR="005E15C8" w:rsidRPr="005E15C8" w:rsidRDefault="005E15C8" w:rsidP="005F0C52">
      <w:pPr>
        <w:spacing w:after="0"/>
        <w:rPr>
          <w:noProof/>
        </w:rPr>
      </w:pPr>
      <w:r w:rsidRPr="005E15C8">
        <w:rPr>
          <w:noProof/>
        </w:rPr>
        <w:t>Thus, work-based research is usually classified as ‘action research’, which is most generally defined as research carried out in the course of an activity or work aimed at improving the methods and approaches of those involved in the activity or occupation, often in the context of providing data to form the basis of rational, informed, evidence-based decision making. More recent interpretations expand this definition to suggest that “unlike conventional social science, [the purpose of action research] is not primarily or solely to understand social arrangements, but also to effect desired change as a path to generating knowledge and empowering stakeholders” (Huang, 2010, p. 93). In this section, we summarise the basic elements and unique features of work-based research, drawing from O’Leary and Hunt (2016) and others (e.g., Treadwell, 2010).</w:t>
      </w:r>
    </w:p>
    <w:p w:rsidR="005F0C52" w:rsidRDefault="005A1FF3" w:rsidP="0022187A">
      <w:pPr>
        <w:pStyle w:val="Heading2"/>
        <w:rPr>
          <w:noProof/>
        </w:rPr>
      </w:pPr>
      <w:r>
        <w:t>Reasons for Conducting Research</w:t>
      </w:r>
    </w:p>
    <w:p w:rsidR="009C55E2" w:rsidRDefault="005E15C8" w:rsidP="009C55E2">
      <w:pPr>
        <w:rPr>
          <w:noProof/>
        </w:rPr>
      </w:pPr>
      <w:r w:rsidRPr="005E15C8">
        <w:rPr>
          <w:noProof/>
        </w:rPr>
        <w:t xml:space="preserve">The traditional purpose of conducting research is to generate new knowledge and thereby expand the frontiers of a discipline. In work-based research, the underlying motivation for conducting research is more complicated and wide-reaching. Teddlie and Tashakkori (2009) point to the example of transformative researchers whose purpose is to help oppressed and marginalised groups gain greater social justice rather than merely generate knowledge (they may generate new knowledge, but it is not their primary mission). </w:t>
      </w:r>
    </w:p>
    <w:p w:rsidR="005E15C8" w:rsidRDefault="005E15C8" w:rsidP="005F0C52">
      <w:pPr>
        <w:spacing w:after="0"/>
        <w:rPr>
          <w:noProof/>
        </w:rPr>
      </w:pPr>
      <w:r w:rsidRPr="005E15C8">
        <w:rPr>
          <w:noProof/>
        </w:rPr>
        <w:t xml:space="preserve">The authors therefore advance a number of theories </w:t>
      </w:r>
      <w:r w:rsidR="006832AB">
        <w:rPr>
          <w:noProof/>
        </w:rPr>
        <w:t>that</w:t>
      </w:r>
      <w:r w:rsidRPr="005E15C8">
        <w:rPr>
          <w:noProof/>
        </w:rPr>
        <w:t xml:space="preserve"> explain and motivate work-based resea</w:t>
      </w:r>
      <w:r w:rsidR="006832AB">
        <w:rPr>
          <w:noProof/>
        </w:rPr>
        <w:t>rch, including personal reasons</w:t>
      </w:r>
      <w:r w:rsidRPr="005E15C8">
        <w:rPr>
          <w:noProof/>
        </w:rPr>
        <w:t xml:space="preserve"> such as career development and satisfying cu</w:t>
      </w:r>
      <w:r w:rsidR="006832AB">
        <w:rPr>
          <w:noProof/>
        </w:rPr>
        <w:t>riosity about complex phenomena,</w:t>
      </w:r>
      <w:r w:rsidRPr="005E15C8">
        <w:rPr>
          <w:noProof/>
        </w:rPr>
        <w:t xml:space="preserve"> and societal reason</w:t>
      </w:r>
      <w:r w:rsidR="006832AB">
        <w:rPr>
          <w:noProof/>
        </w:rPr>
        <w:t>s such as</w:t>
      </w:r>
      <w:r w:rsidRPr="005E15C8">
        <w:rPr>
          <w:noProof/>
        </w:rPr>
        <w:t xml:space="preserve"> improving society and its institutions and empowering disadvantaged groups or constituencies (Teddlie &amp; Tashakkori, 2009, pp. 113-115). To this list we can add organisational reasons, including a desire to improve performance or other outcomes of a company, peer group or government agency, and a desire to test innovations and develop causal explanations for, and correlational examples of, workplace phenomena.</w:t>
      </w:r>
    </w:p>
    <w:p w:rsidR="005F0C52" w:rsidRDefault="005E15C8" w:rsidP="00747491">
      <w:pPr>
        <w:pStyle w:val="Heading2"/>
      </w:pPr>
      <w:r w:rsidRPr="005A1FF3">
        <w:t xml:space="preserve">Comprehending the </w:t>
      </w:r>
      <w:r w:rsidR="002D0FD0">
        <w:t>W</w:t>
      </w:r>
      <w:r w:rsidRPr="005A1FF3">
        <w:t>orkplace</w:t>
      </w:r>
      <w:r w:rsidR="000C7319">
        <w:t xml:space="preserve"> and Work Space</w:t>
      </w:r>
    </w:p>
    <w:p w:rsidR="005F0C52" w:rsidRPr="005F0C52" w:rsidRDefault="005E15C8" w:rsidP="005F0C52">
      <w:pPr>
        <w:widowControl w:val="0"/>
        <w:autoSpaceDE w:val="0"/>
        <w:autoSpaceDN w:val="0"/>
        <w:adjustRightInd w:val="0"/>
        <w:spacing w:after="0"/>
        <w:ind w:right="60"/>
        <w:rPr>
          <w:noProof/>
        </w:rPr>
      </w:pPr>
      <w:r w:rsidRPr="005E15C8">
        <w:rPr>
          <w:noProof/>
        </w:rPr>
        <w:t xml:space="preserve">An understanding of the workplace </w:t>
      </w:r>
      <w:r w:rsidR="000C7319">
        <w:rPr>
          <w:noProof/>
        </w:rPr>
        <w:t xml:space="preserve">and the </w:t>
      </w:r>
      <w:r w:rsidR="00A74135">
        <w:rPr>
          <w:noProof/>
        </w:rPr>
        <w:t xml:space="preserve">practice </w:t>
      </w:r>
      <w:r w:rsidR="000C7319">
        <w:rPr>
          <w:noProof/>
        </w:rPr>
        <w:t>domain of one’s work are</w:t>
      </w:r>
      <w:r w:rsidRPr="005E15C8">
        <w:rPr>
          <w:noProof/>
        </w:rPr>
        <w:t xml:space="preserve"> essential for work-based research. This includes a fluency with both the organisational structure and culture of one’s </w:t>
      </w:r>
      <w:r w:rsidRPr="005E15C8">
        <w:rPr>
          <w:noProof/>
        </w:rPr>
        <w:lastRenderedPageBreak/>
        <w:t>workplace. Being familiar with not only one’s own job responsibilities and place in the organisation but with those around us (such as one’s manager), as well as how the organisation is structured (e.g., functionally or divisionally), are considered essential. However, an understanding of organisational culture is equally important. For example, what are the core values held by the organisation, what assumptions underlie those values, and what behaviours and attitudes characterise and define the workplace? These might find expression in the way language between management and staff is applied (i.e., formal or informal usage), the way decisions are made (i.e., consensually or by edict), how the value of ‘learning’ and ‘knowledge acquisition’ is viewed, and how human resource issues, such as responsibility and accountability, are conceived and enacted. Similarly, for the work-based researcher, knowing where the ‘power’ in the organisation lies and what the organisation’s frustrations, goals, objectives, priorities and vision for the future are (particularly when it comes to developing an agenda and plan for research in the workplace), are considered crucial. Understanding the goals, objectives, priorities and vision in particular provides considerable research potential.</w:t>
      </w:r>
    </w:p>
    <w:p w:rsidR="005F0C52" w:rsidRDefault="005E15C8" w:rsidP="00747491">
      <w:pPr>
        <w:pStyle w:val="Heading2"/>
      </w:pPr>
      <w:r w:rsidRPr="0094015D">
        <w:t>Workplace</w:t>
      </w:r>
      <w:r w:rsidRPr="005A1FF3">
        <w:t xml:space="preserve"> and </w:t>
      </w:r>
      <w:r w:rsidR="002D0FD0">
        <w:t>P</w:t>
      </w:r>
      <w:r w:rsidRPr="005A1FF3">
        <w:t xml:space="preserve">ractice </w:t>
      </w:r>
      <w:r w:rsidR="002D0FD0">
        <w:t>D</w:t>
      </w:r>
      <w:r w:rsidRPr="005A1FF3">
        <w:t xml:space="preserve">omain </w:t>
      </w:r>
      <w:r w:rsidR="002D0FD0">
        <w:t>I</w:t>
      </w:r>
      <w:r w:rsidRPr="005A1FF3">
        <w:t>ssues</w:t>
      </w:r>
    </w:p>
    <w:p w:rsidR="005E15C8" w:rsidRPr="005E15C8" w:rsidRDefault="005E15C8" w:rsidP="005F0C52">
      <w:pPr>
        <w:widowControl w:val="0"/>
        <w:autoSpaceDE w:val="0"/>
        <w:autoSpaceDN w:val="0"/>
        <w:adjustRightInd w:val="0"/>
        <w:ind w:right="60"/>
        <w:rPr>
          <w:noProof/>
        </w:rPr>
      </w:pPr>
      <w:r w:rsidRPr="005E15C8">
        <w:rPr>
          <w:noProof/>
        </w:rPr>
        <w:t>O’Leary and Hunt (2016) highlight the need to identify organisational ‘issues’ before asking questions. Their focus is on understanding the types and extent of issues an organisation faces and where research might contribute to addressing and resolving these issues. However, issues extend beyond the organisation and include problems, needs, challenges and opportunities in the wider practice domain or profession</w:t>
      </w:r>
      <w:r w:rsidR="00A74135">
        <w:rPr>
          <w:noProof/>
        </w:rPr>
        <w:t xml:space="preserve"> (i.e., the work </w:t>
      </w:r>
      <w:r w:rsidR="0025061D">
        <w:rPr>
          <w:noProof/>
        </w:rPr>
        <w:t>‘</w:t>
      </w:r>
      <w:r w:rsidR="00A74135">
        <w:rPr>
          <w:noProof/>
        </w:rPr>
        <w:t>space</w:t>
      </w:r>
      <w:r w:rsidR="0025061D">
        <w:rPr>
          <w:noProof/>
        </w:rPr>
        <w:t>’</w:t>
      </w:r>
      <w:r w:rsidR="00A74135">
        <w:rPr>
          <w:noProof/>
        </w:rPr>
        <w:t>)</w:t>
      </w:r>
      <w:r w:rsidRPr="005E15C8">
        <w:rPr>
          <w:noProof/>
        </w:rPr>
        <w:t xml:space="preserve">, which may also motivate a researcher to embed a program within a specific organisation while addressing higher order or discipline-wide issues. In both cases, it is important for the researcher to distinguish between the urgency, importance and scale of issues. Distinctions need to be made between issues </w:t>
      </w:r>
      <w:r w:rsidR="0094015D">
        <w:rPr>
          <w:noProof/>
        </w:rPr>
        <w:t>which</w:t>
      </w:r>
      <w:r w:rsidRPr="005E15C8">
        <w:rPr>
          <w:noProof/>
        </w:rPr>
        <w:t xml:space="preserve"> are merely urgent (but not necessarily important or substantial) and those that are strategically fundamental, mission-critical, or of an order of magnitude </w:t>
      </w:r>
      <w:r w:rsidR="0094015D">
        <w:rPr>
          <w:noProof/>
        </w:rPr>
        <w:t>that</w:t>
      </w:r>
      <w:r w:rsidRPr="005E15C8">
        <w:rPr>
          <w:noProof/>
        </w:rPr>
        <w:t xml:space="preserve"> threaten the sustainability or survival of the organisation. </w:t>
      </w:r>
    </w:p>
    <w:p w:rsidR="005E15C8" w:rsidRPr="005E15C8" w:rsidRDefault="005E15C8" w:rsidP="005F0C52">
      <w:pPr>
        <w:widowControl w:val="0"/>
        <w:autoSpaceDE w:val="0"/>
        <w:autoSpaceDN w:val="0"/>
        <w:adjustRightInd w:val="0"/>
        <w:spacing w:after="0"/>
        <w:ind w:right="60"/>
        <w:rPr>
          <w:noProof/>
        </w:rPr>
      </w:pPr>
      <w:r w:rsidRPr="005E15C8">
        <w:rPr>
          <w:noProof/>
        </w:rPr>
        <w:t xml:space="preserve">These latter types of issues may be more amenable to research, although pressing issues may receive more attention in the short-term. Moreover, particularly in small-scale workplace research, it is imperative to look critically at the organisation and to examine the practice domain outside the organisation, not simply hear the ‘dominant voice’ in which the researcher unquestioningly aligns </w:t>
      </w:r>
      <w:r w:rsidR="0094015D">
        <w:rPr>
          <w:noProof/>
        </w:rPr>
        <w:t xml:space="preserve">personal </w:t>
      </w:r>
      <w:r w:rsidRPr="005E15C8">
        <w:rPr>
          <w:noProof/>
        </w:rPr>
        <w:t xml:space="preserve">thoughts to those of the organisation without due reflection and critical thought. In short, developing an understanding of the legitimate frustrations and priorities of an organisation, and then asking: ‘what can I contribute?’ potentially lead to valuable research questions being advanced. </w:t>
      </w:r>
    </w:p>
    <w:p w:rsidR="005F0C52" w:rsidRDefault="005E15C8" w:rsidP="00747491">
      <w:pPr>
        <w:pStyle w:val="Heading2"/>
      </w:pPr>
      <w:r w:rsidRPr="005A1FF3">
        <w:t xml:space="preserve">Developing </w:t>
      </w:r>
      <w:r w:rsidR="002D0FD0">
        <w:t>R</w:t>
      </w:r>
      <w:r w:rsidRPr="005A1FF3">
        <w:t xml:space="preserve">esearch </w:t>
      </w:r>
      <w:r w:rsidR="002D0FD0">
        <w:t>Q</w:t>
      </w:r>
      <w:r w:rsidRPr="005A1FF3">
        <w:t xml:space="preserve">uestions and </w:t>
      </w:r>
      <w:r w:rsidR="002D0FD0">
        <w:t>A</w:t>
      </w:r>
      <w:r w:rsidRPr="005A1FF3">
        <w:t xml:space="preserve">pplied </w:t>
      </w:r>
      <w:r w:rsidR="002D0FD0">
        <w:t>R</w:t>
      </w:r>
      <w:r w:rsidRPr="005A1FF3">
        <w:t xml:space="preserve">esearch </w:t>
      </w:r>
      <w:r w:rsidR="002D0FD0">
        <w:t>P</w:t>
      </w:r>
      <w:r w:rsidRPr="005A1FF3">
        <w:t>lans</w:t>
      </w:r>
    </w:p>
    <w:p w:rsidR="00D63624" w:rsidRDefault="005E15C8" w:rsidP="005F0C52">
      <w:pPr>
        <w:widowControl w:val="0"/>
        <w:autoSpaceDE w:val="0"/>
        <w:autoSpaceDN w:val="0"/>
        <w:adjustRightInd w:val="0"/>
        <w:ind w:right="60"/>
        <w:rPr>
          <w:noProof/>
        </w:rPr>
      </w:pPr>
      <w:r w:rsidRPr="005E15C8">
        <w:rPr>
          <w:noProof/>
        </w:rPr>
        <w:t xml:space="preserve">Having identified a relevant workplace issue (which is either specific to one’s own organisation or applicable to the wider practice domain) and thereby setting a possible direction for work-based research, certain foundational questions may be asked. In this sense, research questions define the investigation, set the boundaries of investigation, provide a direction for investigation, and act as a frame of reference for evaluating the research program (O’Leary &amp; Hunt, 2016, p. 46). Research questions are different to hypotheses or null-hypotheses in that they generally do not propose on the basis of logical conjecture and under strictly controlled conditions to test the existence (or absence) of a relationship between two or more variables. Like hypotheses, research questions are often advanced on the basis of a hunch or educated guess, and are equally specific, testable and realistic. </w:t>
      </w:r>
    </w:p>
    <w:p w:rsidR="005F0C52" w:rsidRDefault="005E15C8" w:rsidP="005F0C52">
      <w:pPr>
        <w:widowControl w:val="0"/>
        <w:autoSpaceDE w:val="0"/>
        <w:autoSpaceDN w:val="0"/>
        <w:adjustRightInd w:val="0"/>
        <w:ind w:right="60"/>
        <w:rPr>
          <w:noProof/>
        </w:rPr>
      </w:pPr>
      <w:r w:rsidRPr="005E15C8">
        <w:rPr>
          <w:noProof/>
        </w:rPr>
        <w:t xml:space="preserve">However, research questions differ from hypotheses because of their penchant for generating broad (although not always generalizable) understandings and conclusions, their sometimes lack of clearly defined variables, their emphasis on an ‘experience’ rather than an ‘observation’ of social and organisational phenomena, their proclivity for developing ‘rich’ data, and their oft-declared aim of engaging in collaborative change (O’Leary &amp; Hunt, 2016, p. 47). </w:t>
      </w:r>
    </w:p>
    <w:p w:rsidR="00C90668" w:rsidRDefault="005E15C8" w:rsidP="001704E4">
      <w:pPr>
        <w:autoSpaceDE w:val="0"/>
        <w:autoSpaceDN w:val="0"/>
        <w:adjustRightInd w:val="0"/>
        <w:ind w:right="62"/>
        <w:rPr>
          <w:noProof/>
        </w:rPr>
      </w:pPr>
      <w:r w:rsidRPr="005E15C8">
        <w:rPr>
          <w:noProof/>
        </w:rPr>
        <w:lastRenderedPageBreak/>
        <w:t xml:space="preserve">Having developed one or more research questions, a plan is developed on the basis of several factors. The first of these, as is the case with many forms of research, a review of the literature and development of a research model. Such a review would typically address such topics as: what do I know about this topic and how can I find out more; how do I develop a convincing rationale for the study; what frameworks, models, and/or theory will help the study; and what research has already been conducted in this area? </w:t>
      </w:r>
    </w:p>
    <w:p w:rsidR="005F0C52" w:rsidRDefault="005E15C8" w:rsidP="005F0C52">
      <w:pPr>
        <w:widowControl w:val="0"/>
        <w:autoSpaceDE w:val="0"/>
        <w:autoSpaceDN w:val="0"/>
        <w:adjustRightInd w:val="0"/>
        <w:ind w:right="60"/>
        <w:rPr>
          <w:noProof/>
        </w:rPr>
      </w:pPr>
      <w:r w:rsidRPr="005E15C8">
        <w:rPr>
          <w:noProof/>
        </w:rPr>
        <w:t>In addition to analysing the published academic literature on the discipline, reviews of this type might also envelop government white papers and policy documents, company annual reports, competency models, trade journals, and so-called “grey literature” (i.e., literature that exists outside standard academic and commercial domains, such as less public or unpublished organisational data), and may extend to root cause analysis or public policy analysis (e.g., Dunn, 2015).</w:t>
      </w:r>
    </w:p>
    <w:p w:rsidR="005E15C8" w:rsidRPr="005E15C8" w:rsidRDefault="005E15C8" w:rsidP="005F0C52">
      <w:pPr>
        <w:widowControl w:val="0"/>
        <w:autoSpaceDE w:val="0"/>
        <w:autoSpaceDN w:val="0"/>
        <w:adjustRightInd w:val="0"/>
        <w:ind w:right="60"/>
        <w:rPr>
          <w:noProof/>
        </w:rPr>
      </w:pPr>
      <w:r w:rsidRPr="005E15C8">
        <w:rPr>
          <w:noProof/>
        </w:rPr>
        <w:t>As is also the case with hypotheses in experimental, quasi-experimental, time-series, correlational and other forms of empirical research, research questions (what I want to know), which logically follow from the problem being investigated, also logically necessitate a method (how I am going to know it), and therefore developing a research plan is somewhat straightforward, because the population type, size and conditions, along with any instruments and designs (e.g., longitudinal or cross-sectional)</w:t>
      </w:r>
      <w:r w:rsidR="006475E8">
        <w:rPr>
          <w:noProof/>
        </w:rPr>
        <w:t>,</w:t>
      </w:r>
      <w:r w:rsidRPr="005E15C8">
        <w:rPr>
          <w:noProof/>
        </w:rPr>
        <w:t xml:space="preserve"> logically follow from the question. O’Leary and Hunt (2016, p</w:t>
      </w:r>
      <w:r w:rsidR="000C7319">
        <w:rPr>
          <w:noProof/>
        </w:rPr>
        <w:t>p</w:t>
      </w:r>
      <w:r w:rsidRPr="005E15C8">
        <w:rPr>
          <w:noProof/>
        </w:rPr>
        <w:t xml:space="preserve">. 81-82) call the next phase of research going from “questions to methods” because “decision-making relating to methods [in work-based research] is question-driven”. </w:t>
      </w:r>
    </w:p>
    <w:p w:rsidR="005E15C8" w:rsidRPr="005E15C8" w:rsidRDefault="00377310" w:rsidP="009C55E2">
      <w:pPr>
        <w:widowControl w:val="0"/>
        <w:autoSpaceDE w:val="0"/>
        <w:autoSpaceDN w:val="0"/>
        <w:adjustRightInd w:val="0"/>
        <w:ind w:right="60"/>
        <w:rPr>
          <w:noProof/>
        </w:rPr>
      </w:pPr>
      <w:r>
        <w:rPr>
          <w:noProof/>
        </w:rPr>
        <w:t>Moreover</w:t>
      </w:r>
      <w:r w:rsidR="005E15C8" w:rsidRPr="005E15C8">
        <w:rPr>
          <w:noProof/>
        </w:rPr>
        <w:t>, due to the nature of work-based research, the development of an appropriate method and research design can be more challenging. For example, while the question may be narrowly defined, its goals can be open-ended and the context, as stated above, can sometimes be messy. O’Leary and Hunt (2016) therefore point out that work</w:t>
      </w:r>
      <w:r w:rsidR="000C7319">
        <w:rPr>
          <w:noProof/>
        </w:rPr>
        <w:t>-based</w:t>
      </w:r>
      <w:r w:rsidR="005E15C8" w:rsidRPr="005E15C8">
        <w:rPr>
          <w:noProof/>
        </w:rPr>
        <w:t xml:space="preserve"> research generally aims to fulfil one or more of the following: </w:t>
      </w:r>
      <w:r w:rsidR="006475E8">
        <w:rPr>
          <w:noProof/>
        </w:rPr>
        <w:t>(</w:t>
      </w:r>
      <w:r w:rsidR="005E15C8" w:rsidRPr="005E15C8">
        <w:rPr>
          <w:noProof/>
        </w:rPr>
        <w:t xml:space="preserve">1) understand a problem; </w:t>
      </w:r>
      <w:r w:rsidR="006475E8">
        <w:rPr>
          <w:noProof/>
        </w:rPr>
        <w:t>(</w:t>
      </w:r>
      <w:r w:rsidR="005E15C8" w:rsidRPr="005E15C8">
        <w:rPr>
          <w:noProof/>
        </w:rPr>
        <w:t xml:space="preserve">2) find a workable solution to the problem; and/or </w:t>
      </w:r>
      <w:r w:rsidR="006475E8">
        <w:rPr>
          <w:noProof/>
        </w:rPr>
        <w:t>(</w:t>
      </w:r>
      <w:r w:rsidR="005E15C8" w:rsidRPr="005E15C8">
        <w:rPr>
          <w:noProof/>
        </w:rPr>
        <w:t>3) evaluate the success or failure of an ‘intervention’. Thus, a work-based research plan may b</w:t>
      </w:r>
      <w:r w:rsidR="006475E8">
        <w:rPr>
          <w:noProof/>
        </w:rPr>
        <w:t>e evaluative in nature</w:t>
      </w:r>
      <w:r w:rsidR="005E15C8" w:rsidRPr="005E15C8">
        <w:rPr>
          <w:noProof/>
        </w:rPr>
        <w:t xml:space="preserve"> and will usually include: significance and scope of the problem; purpose and merits of the research (including purpose, aims, and objectives) and possible benefits to the organisation or practice domain; merits of the research question; merits and trustworthiness of the researcher (including qualifications, gender</w:t>
      </w:r>
      <w:r w:rsidR="006475E8">
        <w:rPr>
          <w:noProof/>
        </w:rPr>
        <w:t>, age, position, ethnicity, and so forth</w:t>
      </w:r>
      <w:r w:rsidR="005E15C8" w:rsidRPr="005E15C8">
        <w:rPr>
          <w:noProof/>
        </w:rPr>
        <w:t xml:space="preserve">); merits and description of the proposed research method; timelines, budgets and funding (if applicable); and ethical considerations (including consideration of insider-research controls, consents and privacy).  </w:t>
      </w:r>
    </w:p>
    <w:p w:rsidR="005F0C52" w:rsidRDefault="005E15C8" w:rsidP="00747491">
      <w:pPr>
        <w:pStyle w:val="Heading2"/>
      </w:pPr>
      <w:r w:rsidRPr="005A1FF3">
        <w:t xml:space="preserve">Action </w:t>
      </w:r>
      <w:r w:rsidR="002D0FD0">
        <w:t>R</w:t>
      </w:r>
      <w:r w:rsidRPr="005A1FF3">
        <w:t xml:space="preserve">esearch and </w:t>
      </w:r>
      <w:r w:rsidR="002D0FD0">
        <w:t>M</w:t>
      </w:r>
      <w:r w:rsidRPr="005A1FF3">
        <w:t xml:space="preserve">ixed </w:t>
      </w:r>
      <w:r w:rsidR="002D0FD0">
        <w:t>M</w:t>
      </w:r>
      <w:r w:rsidRPr="005A1FF3">
        <w:t>ethods</w:t>
      </w:r>
    </w:p>
    <w:p w:rsidR="005E15C8" w:rsidRPr="005E15C8" w:rsidRDefault="005E15C8" w:rsidP="005F0C52">
      <w:pPr>
        <w:widowControl w:val="0"/>
        <w:autoSpaceDE w:val="0"/>
        <w:autoSpaceDN w:val="0"/>
        <w:adjustRightInd w:val="0"/>
        <w:ind w:right="60"/>
        <w:rPr>
          <w:noProof/>
        </w:rPr>
      </w:pPr>
      <w:r w:rsidRPr="005E15C8">
        <w:rPr>
          <w:noProof/>
        </w:rPr>
        <w:t>Work-based research favours a variety of different forms of mixed methods, because they have the scope and flexibility to investigate complex phenomena in a wide variety of practice domains, such as those observed in work environments, although all methods are embraced on a ‘best-fit’ basis by workplace researchers depending on the problem and research question under investigation.</w:t>
      </w:r>
    </w:p>
    <w:p w:rsidR="005E15C8" w:rsidRPr="005E15C8" w:rsidRDefault="005E15C8" w:rsidP="005F0C52">
      <w:pPr>
        <w:widowControl w:val="0"/>
        <w:autoSpaceDE w:val="0"/>
        <w:autoSpaceDN w:val="0"/>
        <w:adjustRightInd w:val="0"/>
        <w:ind w:right="60"/>
        <w:rPr>
          <w:noProof/>
        </w:rPr>
      </w:pPr>
      <w:r w:rsidRPr="005E15C8">
        <w:rPr>
          <w:noProof/>
        </w:rPr>
        <w:t>Mixed methods</w:t>
      </w:r>
      <w:r w:rsidR="003653CE">
        <w:rPr>
          <w:noProof/>
        </w:rPr>
        <w:t xml:space="preserve"> are discussed in detail by Cre</w:t>
      </w:r>
      <w:r w:rsidRPr="005E15C8">
        <w:rPr>
          <w:noProof/>
        </w:rPr>
        <w:t xml:space="preserve">swell (2003), </w:t>
      </w:r>
      <w:r w:rsidR="003653CE">
        <w:rPr>
          <w:noProof/>
        </w:rPr>
        <w:t>Cre</w:t>
      </w:r>
      <w:r w:rsidR="003653CE" w:rsidRPr="005E15C8">
        <w:rPr>
          <w:noProof/>
        </w:rPr>
        <w:t xml:space="preserve">swell </w:t>
      </w:r>
      <w:r w:rsidRPr="005E15C8">
        <w:rPr>
          <w:noProof/>
        </w:rPr>
        <w:t xml:space="preserve">and Plano Clark (2011) and Teddlie and Tashakkori (2009), but have their origins in “multiple methods” of the late 1980s, as described, for example, by Mark and Shotland (1987), and constitute what Teddlie and Tashakkori (2009, p. 3) call the “third research </w:t>
      </w:r>
      <w:r w:rsidR="0071078A">
        <w:rPr>
          <w:noProof/>
        </w:rPr>
        <w:t>community” after quantitative (positivist and p</w:t>
      </w:r>
      <w:r w:rsidRPr="005E15C8">
        <w:rPr>
          <w:noProof/>
        </w:rPr>
        <w:t>ost-positivi</w:t>
      </w:r>
      <w:r w:rsidR="0071078A">
        <w:rPr>
          <w:noProof/>
        </w:rPr>
        <w:t>st paradigms) and qualitative (c</w:t>
      </w:r>
      <w:r w:rsidRPr="005E15C8">
        <w:rPr>
          <w:noProof/>
        </w:rPr>
        <w:t>onstructivist paradigm) methods. Table 1 summarises the relation of each research community</w:t>
      </w:r>
      <w:r w:rsidR="0071078A">
        <w:rPr>
          <w:noProof/>
        </w:rPr>
        <w:t>.</w:t>
      </w:r>
      <w:r w:rsidRPr="005E15C8">
        <w:rPr>
          <w:noProof/>
        </w:rPr>
        <w:t xml:space="preserve"> (</w:t>
      </w:r>
      <w:r w:rsidR="0071078A">
        <w:rPr>
          <w:noProof/>
        </w:rPr>
        <w:t>W</w:t>
      </w:r>
      <w:r w:rsidRPr="005E15C8">
        <w:rPr>
          <w:noProof/>
        </w:rPr>
        <w:t>e have not attempted to provide an in-depth analytical comparison of each of the three research communities, but present this Table 1 to show their relation and the relevance of mixed methods to action work-based research and subsequently to Professional Studies</w:t>
      </w:r>
      <w:r w:rsidR="000C7319">
        <w:rPr>
          <w:noProof/>
        </w:rPr>
        <w:t>.</w:t>
      </w:r>
      <w:r w:rsidRPr="005E15C8">
        <w:rPr>
          <w:noProof/>
        </w:rPr>
        <w:t xml:space="preserve">) </w:t>
      </w:r>
    </w:p>
    <w:p w:rsidR="005E15C8" w:rsidRPr="0098637F" w:rsidRDefault="005E15C8" w:rsidP="0071078A">
      <w:pPr>
        <w:keepNext/>
        <w:keepLines/>
        <w:widowControl w:val="0"/>
        <w:autoSpaceDE w:val="0"/>
        <w:autoSpaceDN w:val="0"/>
        <w:adjustRightInd w:val="0"/>
        <w:ind w:left="357" w:right="403"/>
        <w:jc w:val="center"/>
        <w:rPr>
          <w:b/>
          <w:noProof/>
        </w:rPr>
      </w:pPr>
      <w:r w:rsidRPr="0098637F">
        <w:rPr>
          <w:b/>
          <w:noProof/>
        </w:rPr>
        <w:lastRenderedPageBreak/>
        <w:t>Table 1</w:t>
      </w:r>
      <w:r w:rsidR="0098637F">
        <w:rPr>
          <w:b/>
          <w:noProof/>
        </w:rPr>
        <w:t>.</w:t>
      </w:r>
      <w:r w:rsidRPr="0098637F">
        <w:rPr>
          <w:b/>
          <w:noProof/>
        </w:rPr>
        <w:t xml:space="preserve"> Dimensions of qualitative, mixed methods and quantitative research designs (</w:t>
      </w:r>
      <w:r w:rsidR="00226AAA">
        <w:rPr>
          <w:b/>
          <w:noProof/>
        </w:rPr>
        <w:t xml:space="preserve">adapted </w:t>
      </w:r>
      <w:r w:rsidRPr="0098637F">
        <w:rPr>
          <w:b/>
          <w:noProof/>
        </w:rPr>
        <w:t>from Teddlie &amp; Tashakkori, 2009, p. 22 and p. 162)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2281"/>
        <w:gridCol w:w="2157"/>
        <w:gridCol w:w="2335"/>
      </w:tblGrid>
      <w:tr w:rsidR="005E15C8" w:rsidRPr="006A747D" w:rsidTr="00B436D3">
        <w:tc>
          <w:tcPr>
            <w:tcW w:w="1857" w:type="dxa"/>
            <w:shd w:val="clear" w:color="auto" w:fill="BFBFBF" w:themeFill="background1" w:themeFillShade="BF"/>
          </w:tcPr>
          <w:p w:rsidR="005E15C8" w:rsidRPr="00B436D3" w:rsidRDefault="005E15C8" w:rsidP="00747491">
            <w:pPr>
              <w:keepNext/>
              <w:widowControl w:val="0"/>
              <w:autoSpaceDE w:val="0"/>
              <w:autoSpaceDN w:val="0"/>
              <w:adjustRightInd w:val="0"/>
              <w:spacing w:after="0"/>
              <w:ind w:right="60"/>
              <w:jc w:val="center"/>
              <w:rPr>
                <w:b/>
                <w:noProof/>
              </w:rPr>
            </w:pPr>
          </w:p>
          <w:p w:rsidR="005E15C8" w:rsidRPr="00B436D3" w:rsidRDefault="005E15C8" w:rsidP="00747491">
            <w:pPr>
              <w:keepNext/>
              <w:widowControl w:val="0"/>
              <w:autoSpaceDE w:val="0"/>
              <w:autoSpaceDN w:val="0"/>
              <w:adjustRightInd w:val="0"/>
              <w:spacing w:after="0"/>
              <w:ind w:right="60"/>
              <w:jc w:val="center"/>
              <w:rPr>
                <w:b/>
                <w:noProof/>
              </w:rPr>
            </w:pPr>
            <w:r w:rsidRPr="00B436D3">
              <w:rPr>
                <w:b/>
                <w:noProof/>
              </w:rPr>
              <w:t>Dimension</w:t>
            </w:r>
          </w:p>
        </w:tc>
        <w:tc>
          <w:tcPr>
            <w:tcW w:w="2281" w:type="dxa"/>
            <w:shd w:val="clear" w:color="auto" w:fill="BFBFBF" w:themeFill="background1" w:themeFillShade="BF"/>
          </w:tcPr>
          <w:p w:rsidR="005E15C8" w:rsidRPr="00B436D3" w:rsidRDefault="005E15C8" w:rsidP="00747491">
            <w:pPr>
              <w:keepNext/>
              <w:widowControl w:val="0"/>
              <w:autoSpaceDE w:val="0"/>
              <w:autoSpaceDN w:val="0"/>
              <w:adjustRightInd w:val="0"/>
              <w:spacing w:after="0"/>
              <w:ind w:right="60"/>
              <w:jc w:val="center"/>
              <w:rPr>
                <w:b/>
                <w:noProof/>
              </w:rPr>
            </w:pPr>
          </w:p>
          <w:p w:rsidR="005E15C8" w:rsidRPr="00B436D3" w:rsidRDefault="005E15C8" w:rsidP="00747491">
            <w:pPr>
              <w:keepNext/>
              <w:widowControl w:val="0"/>
              <w:autoSpaceDE w:val="0"/>
              <w:autoSpaceDN w:val="0"/>
              <w:adjustRightInd w:val="0"/>
              <w:spacing w:after="0"/>
              <w:ind w:right="60"/>
              <w:jc w:val="center"/>
              <w:rPr>
                <w:b/>
                <w:noProof/>
              </w:rPr>
            </w:pPr>
            <w:r w:rsidRPr="00B436D3">
              <w:rPr>
                <w:b/>
                <w:noProof/>
              </w:rPr>
              <w:t>Qualitative (QUAL)</w:t>
            </w:r>
          </w:p>
        </w:tc>
        <w:tc>
          <w:tcPr>
            <w:tcW w:w="2157" w:type="dxa"/>
            <w:shd w:val="clear" w:color="auto" w:fill="BFBFBF" w:themeFill="background1" w:themeFillShade="BF"/>
          </w:tcPr>
          <w:p w:rsidR="005E15C8" w:rsidRPr="00B436D3" w:rsidRDefault="005E15C8" w:rsidP="00747491">
            <w:pPr>
              <w:keepNext/>
              <w:widowControl w:val="0"/>
              <w:autoSpaceDE w:val="0"/>
              <w:autoSpaceDN w:val="0"/>
              <w:adjustRightInd w:val="0"/>
              <w:spacing w:after="0"/>
              <w:ind w:right="60"/>
              <w:jc w:val="center"/>
              <w:rPr>
                <w:b/>
                <w:noProof/>
              </w:rPr>
            </w:pPr>
          </w:p>
          <w:p w:rsidR="005E15C8" w:rsidRPr="00B436D3" w:rsidRDefault="005E15C8" w:rsidP="00747491">
            <w:pPr>
              <w:keepNext/>
              <w:widowControl w:val="0"/>
              <w:autoSpaceDE w:val="0"/>
              <w:autoSpaceDN w:val="0"/>
              <w:adjustRightInd w:val="0"/>
              <w:spacing w:after="0"/>
              <w:ind w:right="60"/>
              <w:jc w:val="center"/>
              <w:rPr>
                <w:b/>
                <w:noProof/>
              </w:rPr>
            </w:pPr>
            <w:r w:rsidRPr="00B436D3">
              <w:rPr>
                <w:b/>
                <w:noProof/>
              </w:rPr>
              <w:t>Mixed Methods</w:t>
            </w:r>
          </w:p>
        </w:tc>
        <w:tc>
          <w:tcPr>
            <w:tcW w:w="2335" w:type="dxa"/>
            <w:shd w:val="clear" w:color="auto" w:fill="BFBFBF" w:themeFill="background1" w:themeFillShade="BF"/>
          </w:tcPr>
          <w:p w:rsidR="005E15C8" w:rsidRPr="00B436D3" w:rsidRDefault="005E15C8" w:rsidP="00747491">
            <w:pPr>
              <w:keepNext/>
              <w:widowControl w:val="0"/>
              <w:autoSpaceDE w:val="0"/>
              <w:autoSpaceDN w:val="0"/>
              <w:adjustRightInd w:val="0"/>
              <w:spacing w:after="0"/>
              <w:ind w:right="60"/>
              <w:jc w:val="center"/>
              <w:rPr>
                <w:b/>
                <w:noProof/>
              </w:rPr>
            </w:pPr>
          </w:p>
          <w:p w:rsidR="005E15C8" w:rsidRPr="00B436D3" w:rsidRDefault="005E15C8" w:rsidP="00747491">
            <w:pPr>
              <w:keepNext/>
              <w:widowControl w:val="0"/>
              <w:autoSpaceDE w:val="0"/>
              <w:autoSpaceDN w:val="0"/>
              <w:adjustRightInd w:val="0"/>
              <w:spacing w:after="0"/>
              <w:ind w:right="60"/>
              <w:jc w:val="center"/>
              <w:rPr>
                <w:b/>
                <w:noProof/>
              </w:rPr>
            </w:pPr>
            <w:r w:rsidRPr="00B436D3">
              <w:rPr>
                <w:b/>
                <w:noProof/>
              </w:rPr>
              <w:t>Quantitative (QUAN)</w:t>
            </w:r>
          </w:p>
          <w:p w:rsidR="005E15C8" w:rsidRPr="00B436D3" w:rsidRDefault="005E15C8" w:rsidP="00747491">
            <w:pPr>
              <w:keepNext/>
              <w:widowControl w:val="0"/>
              <w:autoSpaceDE w:val="0"/>
              <w:autoSpaceDN w:val="0"/>
              <w:adjustRightInd w:val="0"/>
              <w:spacing w:after="0"/>
              <w:ind w:right="60"/>
              <w:jc w:val="center"/>
              <w:rPr>
                <w:b/>
                <w:noProof/>
              </w:rPr>
            </w:pPr>
          </w:p>
        </w:tc>
      </w:tr>
      <w:tr w:rsidR="005E15C8" w:rsidRPr="006A747D" w:rsidTr="00B436D3">
        <w:tc>
          <w:tcPr>
            <w:tcW w:w="8630" w:type="dxa"/>
            <w:gridSpan w:val="4"/>
            <w:shd w:val="clear" w:color="auto" w:fill="FFFFFF" w:themeFill="background1"/>
          </w:tcPr>
          <w:p w:rsidR="005E15C8" w:rsidRPr="00B436D3" w:rsidRDefault="005E15C8" w:rsidP="00747491">
            <w:pPr>
              <w:keepNext/>
              <w:widowControl w:val="0"/>
              <w:autoSpaceDE w:val="0"/>
              <w:autoSpaceDN w:val="0"/>
              <w:adjustRightInd w:val="0"/>
              <w:spacing w:after="0"/>
              <w:ind w:right="60"/>
              <w:rPr>
                <w:noProof/>
                <w:sz w:val="8"/>
                <w:szCs w:val="8"/>
              </w:rPr>
            </w:pPr>
          </w:p>
        </w:tc>
      </w:tr>
      <w:tr w:rsidR="005E15C8" w:rsidRPr="006A747D" w:rsidTr="00B436D3">
        <w:tc>
          <w:tcPr>
            <w:tcW w:w="1857" w:type="dxa"/>
            <w:shd w:val="clear" w:color="auto" w:fill="D9D9D9" w:themeFill="background1" w:themeFillShade="D9"/>
          </w:tcPr>
          <w:p w:rsidR="005E15C8" w:rsidRPr="00226AAA" w:rsidRDefault="005E15C8" w:rsidP="00747491">
            <w:pPr>
              <w:keepNext/>
              <w:widowControl w:val="0"/>
              <w:autoSpaceDE w:val="0"/>
              <w:autoSpaceDN w:val="0"/>
              <w:adjustRightInd w:val="0"/>
              <w:spacing w:after="0"/>
              <w:ind w:right="60"/>
              <w:rPr>
                <w:noProof/>
                <w:sz w:val="21"/>
                <w:szCs w:val="21"/>
              </w:rPr>
            </w:pPr>
            <w:r w:rsidRPr="00226AAA">
              <w:rPr>
                <w:noProof/>
                <w:sz w:val="21"/>
                <w:szCs w:val="21"/>
              </w:rPr>
              <w:t>Paradigm</w:t>
            </w:r>
          </w:p>
        </w:tc>
        <w:tc>
          <w:tcPr>
            <w:tcW w:w="2281" w:type="dxa"/>
          </w:tcPr>
          <w:p w:rsidR="005E15C8" w:rsidRPr="00226AAA" w:rsidRDefault="005E15C8" w:rsidP="00747491">
            <w:pPr>
              <w:keepNext/>
              <w:widowControl w:val="0"/>
              <w:autoSpaceDE w:val="0"/>
              <w:autoSpaceDN w:val="0"/>
              <w:adjustRightInd w:val="0"/>
              <w:spacing w:after="0"/>
              <w:ind w:right="60"/>
              <w:rPr>
                <w:noProof/>
                <w:sz w:val="21"/>
                <w:szCs w:val="21"/>
              </w:rPr>
            </w:pPr>
            <w:r w:rsidRPr="00226AAA">
              <w:rPr>
                <w:noProof/>
                <w:sz w:val="21"/>
                <w:szCs w:val="21"/>
              </w:rPr>
              <w:t>Constructivist (and variants)</w:t>
            </w:r>
          </w:p>
        </w:tc>
        <w:tc>
          <w:tcPr>
            <w:tcW w:w="2157" w:type="dxa"/>
          </w:tcPr>
          <w:p w:rsidR="005E15C8" w:rsidRPr="00226AAA" w:rsidRDefault="005E15C8" w:rsidP="00747491">
            <w:pPr>
              <w:keepNext/>
              <w:widowControl w:val="0"/>
              <w:autoSpaceDE w:val="0"/>
              <w:autoSpaceDN w:val="0"/>
              <w:adjustRightInd w:val="0"/>
              <w:spacing w:after="0"/>
              <w:ind w:right="60"/>
              <w:rPr>
                <w:noProof/>
                <w:sz w:val="21"/>
                <w:szCs w:val="21"/>
              </w:rPr>
            </w:pPr>
            <w:r w:rsidRPr="00226AAA">
              <w:rPr>
                <w:noProof/>
                <w:sz w:val="21"/>
                <w:szCs w:val="21"/>
              </w:rPr>
              <w:t>Pragmatist; transformative perspective</w:t>
            </w:r>
          </w:p>
        </w:tc>
        <w:tc>
          <w:tcPr>
            <w:tcW w:w="2335" w:type="dxa"/>
          </w:tcPr>
          <w:p w:rsidR="005E15C8" w:rsidRPr="00226AAA" w:rsidRDefault="005E15C8" w:rsidP="00747491">
            <w:pPr>
              <w:keepNext/>
              <w:widowControl w:val="0"/>
              <w:autoSpaceDE w:val="0"/>
              <w:autoSpaceDN w:val="0"/>
              <w:adjustRightInd w:val="0"/>
              <w:spacing w:after="0"/>
              <w:ind w:right="60"/>
              <w:rPr>
                <w:noProof/>
                <w:sz w:val="21"/>
                <w:szCs w:val="21"/>
              </w:rPr>
            </w:pPr>
            <w:r w:rsidRPr="00226AAA">
              <w:rPr>
                <w:noProof/>
                <w:sz w:val="21"/>
                <w:szCs w:val="21"/>
              </w:rPr>
              <w:t>Positivist; post-positivist</w:t>
            </w:r>
          </w:p>
        </w:tc>
      </w:tr>
      <w:tr w:rsidR="005E15C8" w:rsidRPr="006A747D" w:rsidTr="00B436D3">
        <w:tc>
          <w:tcPr>
            <w:tcW w:w="1857" w:type="dxa"/>
            <w:shd w:val="clear" w:color="auto" w:fill="D9D9D9" w:themeFill="background1" w:themeFillShade="D9"/>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Research Questions</w:t>
            </w:r>
          </w:p>
        </w:tc>
        <w:tc>
          <w:tcPr>
            <w:tcW w:w="2281"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QUAL research questions</w:t>
            </w:r>
          </w:p>
        </w:tc>
        <w:tc>
          <w:tcPr>
            <w:tcW w:w="2157"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Mixed method research questions (QUAN and QUAL)</w:t>
            </w:r>
          </w:p>
        </w:tc>
        <w:tc>
          <w:tcPr>
            <w:tcW w:w="2335"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QUAN research questions; null hypothesis; hypothesis</w:t>
            </w:r>
          </w:p>
        </w:tc>
      </w:tr>
      <w:tr w:rsidR="005E15C8" w:rsidRPr="006A747D" w:rsidTr="00B436D3">
        <w:tc>
          <w:tcPr>
            <w:tcW w:w="1857" w:type="dxa"/>
            <w:shd w:val="clear" w:color="auto" w:fill="D9D9D9" w:themeFill="background1" w:themeFillShade="D9"/>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Form of Data</w:t>
            </w:r>
          </w:p>
        </w:tc>
        <w:tc>
          <w:tcPr>
            <w:tcW w:w="2281"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Most typically, although not exclusively, narrative and descriptive</w:t>
            </w:r>
          </w:p>
        </w:tc>
        <w:tc>
          <w:tcPr>
            <w:tcW w:w="2157"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Narrative, descriptive and numeric</w:t>
            </w:r>
          </w:p>
        </w:tc>
        <w:tc>
          <w:tcPr>
            <w:tcW w:w="2335"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Most typically, although not exclusively, numeric</w:t>
            </w:r>
          </w:p>
        </w:tc>
      </w:tr>
      <w:tr w:rsidR="005E15C8" w:rsidRPr="006A747D" w:rsidTr="00B436D3">
        <w:tc>
          <w:tcPr>
            <w:tcW w:w="1857" w:type="dxa"/>
            <w:shd w:val="clear" w:color="auto" w:fill="D9D9D9" w:themeFill="background1" w:themeFillShade="D9"/>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 xml:space="preserve">Purpose of </w:t>
            </w:r>
            <w:r w:rsidR="00214877">
              <w:rPr>
                <w:noProof/>
                <w:sz w:val="21"/>
                <w:szCs w:val="21"/>
              </w:rPr>
              <w:t>R</w:t>
            </w:r>
            <w:r w:rsidRPr="00226AAA">
              <w:rPr>
                <w:noProof/>
                <w:sz w:val="21"/>
                <w:szCs w:val="21"/>
              </w:rPr>
              <w:t>esearch</w:t>
            </w:r>
          </w:p>
        </w:tc>
        <w:tc>
          <w:tcPr>
            <w:tcW w:w="2281"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(Often) exploratory plus confirmatory</w:t>
            </w:r>
          </w:p>
        </w:tc>
        <w:tc>
          <w:tcPr>
            <w:tcW w:w="2157"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Confirmatory (i.e., explanatory) plus exploratory</w:t>
            </w:r>
          </w:p>
        </w:tc>
        <w:tc>
          <w:tcPr>
            <w:tcW w:w="2335"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(Often) confirmatory plus exploratory</w:t>
            </w:r>
          </w:p>
        </w:tc>
      </w:tr>
      <w:tr w:rsidR="005E15C8" w:rsidRPr="006A747D" w:rsidTr="00B436D3">
        <w:tc>
          <w:tcPr>
            <w:tcW w:w="1857" w:type="dxa"/>
            <w:shd w:val="clear" w:color="auto" w:fill="D9D9D9" w:themeFill="background1" w:themeFillShade="D9"/>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Role of Theory and Logic</w:t>
            </w:r>
          </w:p>
        </w:tc>
        <w:tc>
          <w:tcPr>
            <w:tcW w:w="2281"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Grounded theory; inductive logic</w:t>
            </w:r>
          </w:p>
        </w:tc>
        <w:tc>
          <w:tcPr>
            <w:tcW w:w="2157"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Both inductive and deductive logic; inductive-deductive research cycle</w:t>
            </w:r>
          </w:p>
        </w:tc>
        <w:tc>
          <w:tcPr>
            <w:tcW w:w="2335"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Rooted in conceptual framework or theory; hypothetico-deductive model</w:t>
            </w:r>
          </w:p>
        </w:tc>
      </w:tr>
      <w:tr w:rsidR="005E15C8" w:rsidRPr="006A747D" w:rsidTr="00B436D3">
        <w:tc>
          <w:tcPr>
            <w:tcW w:w="1857" w:type="dxa"/>
            <w:shd w:val="clear" w:color="auto" w:fill="D9D9D9" w:themeFill="background1" w:themeFillShade="D9"/>
          </w:tcPr>
          <w:p w:rsidR="005E15C8" w:rsidRPr="00226AAA" w:rsidRDefault="005E15C8" w:rsidP="00214877">
            <w:pPr>
              <w:widowControl w:val="0"/>
              <w:autoSpaceDE w:val="0"/>
              <w:autoSpaceDN w:val="0"/>
              <w:adjustRightInd w:val="0"/>
              <w:spacing w:after="0"/>
              <w:ind w:right="-43"/>
              <w:rPr>
                <w:noProof/>
                <w:sz w:val="21"/>
                <w:szCs w:val="21"/>
              </w:rPr>
            </w:pPr>
            <w:r w:rsidRPr="00226AAA">
              <w:rPr>
                <w:noProof/>
                <w:sz w:val="21"/>
                <w:szCs w:val="21"/>
              </w:rPr>
              <w:t>Typical Studies or Designs</w:t>
            </w:r>
          </w:p>
        </w:tc>
        <w:tc>
          <w:tcPr>
            <w:tcW w:w="2281"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Ethnographic research designs and others (e.g., case studies); mono-method multi-strand designs (i.e., parallel mono-method = QUAL + QUAL; sequential mono-method = QUAL &gt; QUAL)</w:t>
            </w:r>
          </w:p>
        </w:tc>
        <w:tc>
          <w:tcPr>
            <w:tcW w:w="2157"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Mixed method exploratory (QUAL &gt; QUAN), explanatory (QUAN &gt; QUAL), converged or triangulated (QUAL + QUAN), and embedded (QUAN[qual] or QUAL[quan]); quasi-mixed mono-strand designs (i.e., sequential, parallel, multi-level)</w:t>
            </w:r>
          </w:p>
        </w:tc>
        <w:tc>
          <w:tcPr>
            <w:tcW w:w="2335"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Experimental, quasi-experimental, correlational, time-series, survey, etc.; mono-method multi-strand designs (i.e., parallel mono-method = QUAN + QUAN; sequential mono-method = QUAN &gt; QUAN)</w:t>
            </w:r>
          </w:p>
        </w:tc>
      </w:tr>
      <w:tr w:rsidR="005E15C8" w:rsidRPr="00661A11" w:rsidTr="00B436D3">
        <w:tc>
          <w:tcPr>
            <w:tcW w:w="1857" w:type="dxa"/>
            <w:shd w:val="clear" w:color="auto" w:fill="D9D9D9" w:themeFill="background1" w:themeFillShade="D9"/>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Sampling</w:t>
            </w:r>
          </w:p>
        </w:tc>
        <w:tc>
          <w:tcPr>
            <w:tcW w:w="2281"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Mostly purposive</w:t>
            </w:r>
          </w:p>
        </w:tc>
        <w:tc>
          <w:tcPr>
            <w:tcW w:w="2157"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Probability, purposive, and mixed methods sampling (such as parallel mixed methods sampling, sequential mixed methods sampling, and multilevel mixed method sampling)</w:t>
            </w:r>
          </w:p>
        </w:tc>
        <w:tc>
          <w:tcPr>
            <w:tcW w:w="2335"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Mostly probability</w:t>
            </w:r>
          </w:p>
        </w:tc>
      </w:tr>
      <w:tr w:rsidR="005E15C8" w:rsidRPr="006A747D" w:rsidTr="00B436D3">
        <w:tc>
          <w:tcPr>
            <w:tcW w:w="1857" w:type="dxa"/>
            <w:shd w:val="clear" w:color="auto" w:fill="D9D9D9" w:themeFill="background1" w:themeFillShade="D9"/>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Data Analysis</w:t>
            </w:r>
          </w:p>
        </w:tc>
        <w:tc>
          <w:tcPr>
            <w:tcW w:w="2281"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Thematic strategies; categorical and contextualising</w:t>
            </w:r>
          </w:p>
        </w:tc>
        <w:tc>
          <w:tcPr>
            <w:tcW w:w="2157"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Integration of thematic and statistical; data conversion</w:t>
            </w:r>
          </w:p>
        </w:tc>
        <w:tc>
          <w:tcPr>
            <w:tcW w:w="2335"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Statistical analyses; descriptive and inferential</w:t>
            </w:r>
          </w:p>
        </w:tc>
      </w:tr>
      <w:tr w:rsidR="005E15C8" w:rsidRPr="006A747D" w:rsidTr="00B436D3">
        <w:tc>
          <w:tcPr>
            <w:tcW w:w="1857" w:type="dxa"/>
            <w:shd w:val="clear" w:color="auto" w:fill="D9D9D9" w:themeFill="background1" w:themeFillShade="D9"/>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Validity</w:t>
            </w:r>
            <w:r w:rsidR="005B6CC3">
              <w:rPr>
                <w:noProof/>
                <w:sz w:val="21"/>
                <w:szCs w:val="21"/>
              </w:rPr>
              <w:t xml:space="preserve"> and</w:t>
            </w:r>
          </w:p>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Trustworthiness</w:t>
            </w:r>
          </w:p>
        </w:tc>
        <w:tc>
          <w:tcPr>
            <w:tcW w:w="2281"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Trustworthy; credible; transferable</w:t>
            </w:r>
          </w:p>
        </w:tc>
        <w:tc>
          <w:tcPr>
            <w:tcW w:w="2157"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Inferential quality; inferentially transferable</w:t>
            </w:r>
          </w:p>
        </w:tc>
        <w:tc>
          <w:tcPr>
            <w:tcW w:w="2335" w:type="dxa"/>
          </w:tcPr>
          <w:p w:rsidR="005E15C8" w:rsidRPr="00226AAA" w:rsidRDefault="005E15C8" w:rsidP="005E15C8">
            <w:pPr>
              <w:widowControl w:val="0"/>
              <w:autoSpaceDE w:val="0"/>
              <w:autoSpaceDN w:val="0"/>
              <w:adjustRightInd w:val="0"/>
              <w:spacing w:after="0"/>
              <w:ind w:right="60"/>
              <w:rPr>
                <w:noProof/>
                <w:sz w:val="21"/>
                <w:szCs w:val="21"/>
              </w:rPr>
            </w:pPr>
            <w:r w:rsidRPr="00226AAA">
              <w:rPr>
                <w:noProof/>
                <w:sz w:val="21"/>
                <w:szCs w:val="21"/>
              </w:rPr>
              <w:t>Internally valid; externally valid</w:t>
            </w:r>
          </w:p>
        </w:tc>
      </w:tr>
    </w:tbl>
    <w:p w:rsidR="005E15C8" w:rsidRDefault="005E15C8" w:rsidP="005E15C8">
      <w:pPr>
        <w:widowControl w:val="0"/>
        <w:autoSpaceDE w:val="0"/>
        <w:autoSpaceDN w:val="0"/>
        <w:adjustRightInd w:val="0"/>
        <w:spacing w:after="0"/>
        <w:ind w:right="60"/>
        <w:jc w:val="both"/>
        <w:rPr>
          <w:noProof/>
        </w:rPr>
      </w:pPr>
    </w:p>
    <w:p w:rsidR="009C55E2" w:rsidRPr="005E15C8" w:rsidRDefault="009C55E2" w:rsidP="00747491">
      <w:pPr>
        <w:rPr>
          <w:noProof/>
        </w:rPr>
      </w:pPr>
      <w:r w:rsidRPr="005E15C8">
        <w:rPr>
          <w:noProof/>
        </w:rPr>
        <w:lastRenderedPageBreak/>
        <w:t xml:space="preserve">Thus, </w:t>
      </w:r>
      <w:r w:rsidR="003653CE">
        <w:rPr>
          <w:noProof/>
        </w:rPr>
        <w:t>Cre</w:t>
      </w:r>
      <w:r w:rsidR="003653CE" w:rsidRPr="005E15C8">
        <w:rPr>
          <w:noProof/>
        </w:rPr>
        <w:t xml:space="preserve">swell </w:t>
      </w:r>
      <w:r w:rsidRPr="005E15C8">
        <w:rPr>
          <w:noProof/>
        </w:rPr>
        <w:t xml:space="preserve">and Plano Clark (2011, p. 4) suggest mixed methods can be viewed “more as a methodology that span[s] viewpoints” rather than a strict research method; in short, they maintain that mixed methods are both a method and a philosophical orientation when they say: </w:t>
      </w:r>
    </w:p>
    <w:p w:rsidR="00CC34AC" w:rsidRPr="005E15C8" w:rsidRDefault="009C55E2" w:rsidP="00756154">
      <w:pPr>
        <w:widowControl w:val="0"/>
        <w:autoSpaceDE w:val="0"/>
        <w:autoSpaceDN w:val="0"/>
        <w:adjustRightInd w:val="0"/>
        <w:ind w:left="567" w:right="60"/>
        <w:rPr>
          <w:noProof/>
        </w:rPr>
      </w:pPr>
      <w:r w:rsidRPr="005E15C8">
        <w:rPr>
          <w:noProof/>
        </w:rPr>
        <w:t>Mixed methods research is a research design with philosophical assumptions as well as methods of inquiry. As a methodology, it involves philosophical assumptions that guide the direction of the collection and analysis and the mixture of qualitative and quantitative approaches in many phases of the research process.</w:t>
      </w:r>
      <w:r>
        <w:rPr>
          <w:noProof/>
        </w:rPr>
        <w:t xml:space="preserve"> </w:t>
      </w:r>
      <w:r w:rsidR="00CC34AC" w:rsidRPr="005E15C8">
        <w:rPr>
          <w:noProof/>
        </w:rPr>
        <w:t>As a method, it focuses on collecting, analyzing, and mixing both quantitative and qualitative data in a single study or series of studies. Its central premise is that the use of quantitative and qualitative approaches, in combination, provides a better understanding of research problems that either approach alone (</w:t>
      </w:r>
      <w:r w:rsidR="003653CE">
        <w:rPr>
          <w:noProof/>
        </w:rPr>
        <w:t>Cre</w:t>
      </w:r>
      <w:r w:rsidR="003653CE" w:rsidRPr="005E15C8">
        <w:rPr>
          <w:noProof/>
        </w:rPr>
        <w:t xml:space="preserve">swell </w:t>
      </w:r>
      <w:r w:rsidR="00CC34AC" w:rsidRPr="005E15C8">
        <w:rPr>
          <w:noProof/>
        </w:rPr>
        <w:t>&amp; Plano Clark, 2011, p. 5)</w:t>
      </w:r>
      <w:r w:rsidR="0071078A">
        <w:rPr>
          <w:noProof/>
        </w:rPr>
        <w:t>.</w:t>
      </w:r>
    </w:p>
    <w:p w:rsidR="00CC34AC" w:rsidRPr="005E15C8" w:rsidRDefault="003653CE" w:rsidP="00CC34AC">
      <w:pPr>
        <w:widowControl w:val="0"/>
        <w:autoSpaceDE w:val="0"/>
        <w:autoSpaceDN w:val="0"/>
        <w:adjustRightInd w:val="0"/>
        <w:spacing w:after="0"/>
        <w:ind w:right="60"/>
        <w:jc w:val="both"/>
        <w:rPr>
          <w:noProof/>
        </w:rPr>
      </w:pPr>
      <w:r>
        <w:rPr>
          <w:noProof/>
        </w:rPr>
        <w:t>Cre</w:t>
      </w:r>
      <w:r w:rsidRPr="005E15C8">
        <w:rPr>
          <w:noProof/>
        </w:rPr>
        <w:t xml:space="preserve">swell </w:t>
      </w:r>
      <w:r w:rsidR="00CC34AC" w:rsidRPr="005E15C8">
        <w:rPr>
          <w:noProof/>
        </w:rPr>
        <w:t>and Plano Clark (2011, pp. 8-11) go on to explain that mixed methods are most applicable in research when one data source is insufficient to represent and explain a phenomenon, when initial quantitative results need to be explained, when exploratory qualitative findings need to be generalised, when one study needs to be enhanced by a second method, when a theory needs to be embedded in multiple data strands, and when a research objective needs to be understood in the context of multiple research phases. Given the often exploratory and abductive nature of workplace research, each of these needs and research scenarios frequently arise.</w:t>
      </w:r>
    </w:p>
    <w:p w:rsidR="005F0C52" w:rsidRDefault="00226AAA" w:rsidP="00747491">
      <w:pPr>
        <w:pStyle w:val="Heading2"/>
      </w:pPr>
      <w:r w:rsidRPr="005A1FF3">
        <w:t xml:space="preserve">Managing </w:t>
      </w:r>
      <w:r>
        <w:t>D</w:t>
      </w:r>
      <w:r w:rsidRPr="005A1FF3">
        <w:t>ata</w:t>
      </w:r>
    </w:p>
    <w:p w:rsidR="005B6CC3" w:rsidRDefault="00226AAA" w:rsidP="005B6CC3">
      <w:pPr>
        <w:widowControl w:val="0"/>
        <w:autoSpaceDE w:val="0"/>
        <w:autoSpaceDN w:val="0"/>
        <w:adjustRightInd w:val="0"/>
        <w:ind w:right="60"/>
        <w:rPr>
          <w:noProof/>
        </w:rPr>
      </w:pPr>
      <w:r w:rsidRPr="005E15C8">
        <w:rPr>
          <w:noProof/>
        </w:rPr>
        <w:t>A variety of data types are common in workplace research, including historical and existing private- and public-sector data. For example, private sector data may include databases, reports, catalogues, safety records, sales figures, human resource records</w:t>
      </w:r>
      <w:r w:rsidR="00CB4D01">
        <w:rPr>
          <w:noProof/>
        </w:rPr>
        <w:t>,</w:t>
      </w:r>
      <w:r w:rsidRPr="005E15C8">
        <w:rPr>
          <w:noProof/>
        </w:rPr>
        <w:t xml:space="preserve"> and client records</w:t>
      </w:r>
      <w:r w:rsidR="00CB4D01">
        <w:rPr>
          <w:noProof/>
        </w:rPr>
        <w:t xml:space="preserve">. However, </w:t>
      </w:r>
      <w:r w:rsidRPr="005E15C8">
        <w:rPr>
          <w:noProof/>
        </w:rPr>
        <w:t>public sector data m</w:t>
      </w:r>
      <w:r w:rsidR="00CB4D01">
        <w:rPr>
          <w:noProof/>
        </w:rPr>
        <w:t>ight also</w:t>
      </w:r>
      <w:r w:rsidRPr="005E15C8">
        <w:rPr>
          <w:noProof/>
        </w:rPr>
        <w:t xml:space="preserve"> include data held by international organisations, like the World Health Organisation (WHO) or the Organisation for Economic Cooperation and Development (OECD), national data held by governments, non-governmental organisation data, archival data, and policy documents. Workplace research may also include online data, which raises a number of other data management challenges. </w:t>
      </w:r>
    </w:p>
    <w:p w:rsidR="00226AAA" w:rsidRDefault="00226AAA" w:rsidP="005F0C52">
      <w:pPr>
        <w:widowControl w:val="0"/>
        <w:autoSpaceDE w:val="0"/>
        <w:autoSpaceDN w:val="0"/>
        <w:adjustRightInd w:val="0"/>
        <w:spacing w:after="0"/>
        <w:ind w:right="60"/>
        <w:rPr>
          <w:noProof/>
        </w:rPr>
      </w:pPr>
      <w:r w:rsidRPr="005E15C8">
        <w:rPr>
          <w:noProof/>
        </w:rPr>
        <w:t>Each of these data types is commonly dealt with in workplace research (O’Leary &amp; Hunt, 2016).</w:t>
      </w:r>
      <w:r>
        <w:rPr>
          <w:noProof/>
        </w:rPr>
        <w:t xml:space="preserve"> </w:t>
      </w:r>
      <w:r w:rsidRPr="005E15C8">
        <w:rPr>
          <w:noProof/>
        </w:rPr>
        <w:t>Similarly, primary data are generated in workplace research, and because of the mixed method commonly employed, the volume of data can be exhaustive. Primary data are collected by the investigator specifically in response to asking the research question, and can include data generated from interviews, surveys, observations and focus groups. How data is gathered, interrogated and used in workplace research is relevant to the veracity and use</w:t>
      </w:r>
      <w:r w:rsidR="00507BF1">
        <w:rPr>
          <w:noProof/>
        </w:rPr>
        <w:t>fulness of the research outcome;</w:t>
      </w:r>
      <w:r w:rsidRPr="005E15C8">
        <w:rPr>
          <w:noProof/>
        </w:rPr>
        <w:t xml:space="preserve"> however, how data are managed in workplace research does not vary significantly from other forms of research.</w:t>
      </w:r>
    </w:p>
    <w:p w:rsidR="005F0C52" w:rsidRDefault="005E15C8" w:rsidP="00747491">
      <w:pPr>
        <w:pStyle w:val="Heading2"/>
      </w:pPr>
      <w:r w:rsidRPr="005A1FF3">
        <w:t xml:space="preserve">Generating a </w:t>
      </w:r>
      <w:r w:rsidR="002D0FD0">
        <w:t>D</w:t>
      </w:r>
      <w:r w:rsidRPr="005A1FF3">
        <w:t>eliverable</w:t>
      </w:r>
    </w:p>
    <w:p w:rsidR="005B6CC3" w:rsidRDefault="005E15C8" w:rsidP="009C55E2">
      <w:pPr>
        <w:widowControl w:val="0"/>
        <w:autoSpaceDE w:val="0"/>
        <w:autoSpaceDN w:val="0"/>
        <w:adjustRightInd w:val="0"/>
        <w:ind w:right="60"/>
        <w:rPr>
          <w:noProof/>
        </w:rPr>
      </w:pPr>
      <w:r w:rsidRPr="005E15C8">
        <w:rPr>
          <w:noProof/>
        </w:rPr>
        <w:t>Depending on the audience, a work-based research deliverable may take the form of a report, policy document, presentation or essay for professionals or specialist practitioners (what below in the context of the Professional Studies Program we term an ‘artefact’) when r</w:t>
      </w:r>
      <w:r w:rsidR="00507BF1">
        <w:rPr>
          <w:noProof/>
        </w:rPr>
        <w:t>eferring to the practice domain. I</w:t>
      </w:r>
      <w:r w:rsidRPr="005E15C8">
        <w:rPr>
          <w:noProof/>
        </w:rPr>
        <w:t xml:space="preserve">n the case of scholarship, a deliverable can take the form of a thesis, dissertation or journal article written primarily for an academic or specialist audience. In both cases, the deliverable is designed to address the problem under investigation, although an emphasis on recommendations and action steps may feature more predominantly in the former rather than the latter artefact. As shown in Table 2, O’Leary and Hunt (2016) distinguish deliverables </w:t>
      </w:r>
      <w:r w:rsidR="00C733D7">
        <w:rPr>
          <w:noProof/>
        </w:rPr>
        <w:t xml:space="preserve">of work-based research </w:t>
      </w:r>
      <w:r w:rsidRPr="005E15C8">
        <w:rPr>
          <w:noProof/>
        </w:rPr>
        <w:t>according to the following summary.</w:t>
      </w:r>
      <w:r w:rsidR="009C55E2">
        <w:rPr>
          <w:noProof/>
        </w:rPr>
        <w:t xml:space="preserve"> </w:t>
      </w:r>
      <w:r w:rsidR="005B6CC3" w:rsidRPr="005E15C8">
        <w:rPr>
          <w:noProof/>
        </w:rPr>
        <w:t>In each case, O’Leary &amp; Hunt (2016, p. 224) argue that work-based research should, irrespective of its audience, be problem focused, analysis driven, and evidence based, and should always offer viable recommendations.</w:t>
      </w:r>
    </w:p>
    <w:p w:rsidR="005E15C8" w:rsidRPr="002E2D8D" w:rsidRDefault="005E15C8" w:rsidP="002E2D8D">
      <w:pPr>
        <w:widowControl w:val="0"/>
        <w:autoSpaceDE w:val="0"/>
        <w:autoSpaceDN w:val="0"/>
        <w:adjustRightInd w:val="0"/>
        <w:spacing w:before="240"/>
        <w:ind w:right="62"/>
        <w:jc w:val="center"/>
        <w:rPr>
          <w:b/>
          <w:noProof/>
        </w:rPr>
      </w:pPr>
      <w:r w:rsidRPr="0098637F">
        <w:rPr>
          <w:b/>
          <w:noProof/>
        </w:rPr>
        <w:lastRenderedPageBreak/>
        <w:t>Table 2</w:t>
      </w:r>
      <w:r w:rsidR="0098637F">
        <w:rPr>
          <w:b/>
          <w:noProof/>
        </w:rPr>
        <w:t>.</w:t>
      </w:r>
      <w:r w:rsidR="00444F2B">
        <w:rPr>
          <w:b/>
          <w:noProof/>
        </w:rPr>
        <w:t xml:space="preserve"> W</w:t>
      </w:r>
      <w:r w:rsidRPr="0098637F">
        <w:rPr>
          <w:b/>
          <w:noProof/>
        </w:rPr>
        <w:t xml:space="preserve">ork-based research deliverables </w:t>
      </w:r>
      <w:r w:rsidR="00444F2B">
        <w:rPr>
          <w:b/>
          <w:noProof/>
        </w:rPr>
        <w:t xml:space="preserve">matrix </w:t>
      </w:r>
      <w:r w:rsidR="002E2D8D">
        <w:rPr>
          <w:b/>
          <w:noProof/>
        </w:rPr>
        <w:br/>
      </w:r>
      <w:r w:rsidRPr="0098637F">
        <w:rPr>
          <w:b/>
          <w:noProof/>
        </w:rPr>
        <w:t>(adapted from O’Leary &amp; Hunt, 2016, p. 224)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3590"/>
        <w:gridCol w:w="2932"/>
      </w:tblGrid>
      <w:tr w:rsidR="005E15C8" w:rsidRPr="006A747D" w:rsidTr="00B436D3">
        <w:tc>
          <w:tcPr>
            <w:tcW w:w="2425" w:type="dxa"/>
            <w:shd w:val="clear" w:color="auto" w:fill="A6A6A6" w:themeFill="background1" w:themeFillShade="A6"/>
          </w:tcPr>
          <w:p w:rsidR="005E15C8" w:rsidRPr="00B436D3" w:rsidRDefault="005E15C8" w:rsidP="005E15C8">
            <w:pPr>
              <w:widowControl w:val="0"/>
              <w:autoSpaceDE w:val="0"/>
              <w:autoSpaceDN w:val="0"/>
              <w:adjustRightInd w:val="0"/>
              <w:spacing w:after="0"/>
              <w:ind w:right="60"/>
              <w:jc w:val="center"/>
              <w:rPr>
                <w:b/>
                <w:noProof/>
              </w:rPr>
            </w:pPr>
          </w:p>
          <w:p w:rsidR="005E15C8" w:rsidRPr="00B436D3" w:rsidRDefault="005E15C8" w:rsidP="005E15C8">
            <w:pPr>
              <w:widowControl w:val="0"/>
              <w:autoSpaceDE w:val="0"/>
              <w:autoSpaceDN w:val="0"/>
              <w:adjustRightInd w:val="0"/>
              <w:spacing w:after="0"/>
              <w:ind w:right="60"/>
              <w:jc w:val="center"/>
              <w:rPr>
                <w:b/>
                <w:noProof/>
              </w:rPr>
            </w:pPr>
            <w:r w:rsidRPr="00B436D3">
              <w:rPr>
                <w:b/>
                <w:noProof/>
              </w:rPr>
              <w:t>Dimension</w:t>
            </w:r>
          </w:p>
        </w:tc>
        <w:tc>
          <w:tcPr>
            <w:tcW w:w="3776" w:type="dxa"/>
            <w:shd w:val="clear" w:color="auto" w:fill="A6A6A6" w:themeFill="background1" w:themeFillShade="A6"/>
          </w:tcPr>
          <w:p w:rsidR="005E15C8" w:rsidRPr="00B436D3" w:rsidRDefault="005E15C8" w:rsidP="005E15C8">
            <w:pPr>
              <w:widowControl w:val="0"/>
              <w:autoSpaceDE w:val="0"/>
              <w:autoSpaceDN w:val="0"/>
              <w:adjustRightInd w:val="0"/>
              <w:spacing w:after="0"/>
              <w:ind w:right="60"/>
              <w:jc w:val="center"/>
              <w:rPr>
                <w:b/>
                <w:noProof/>
              </w:rPr>
            </w:pPr>
          </w:p>
          <w:p w:rsidR="005E15C8" w:rsidRPr="00B436D3" w:rsidRDefault="005E15C8" w:rsidP="005E15C8">
            <w:pPr>
              <w:widowControl w:val="0"/>
              <w:autoSpaceDE w:val="0"/>
              <w:autoSpaceDN w:val="0"/>
              <w:adjustRightInd w:val="0"/>
              <w:spacing w:after="0"/>
              <w:ind w:right="60"/>
              <w:jc w:val="center"/>
              <w:rPr>
                <w:b/>
                <w:noProof/>
              </w:rPr>
            </w:pPr>
            <w:r w:rsidRPr="00B436D3">
              <w:rPr>
                <w:b/>
                <w:noProof/>
              </w:rPr>
              <w:t>Professional</w:t>
            </w:r>
          </w:p>
        </w:tc>
        <w:tc>
          <w:tcPr>
            <w:tcW w:w="3101" w:type="dxa"/>
            <w:shd w:val="clear" w:color="auto" w:fill="A6A6A6" w:themeFill="background1" w:themeFillShade="A6"/>
          </w:tcPr>
          <w:p w:rsidR="005E15C8" w:rsidRPr="00B436D3" w:rsidRDefault="005E15C8" w:rsidP="005E15C8">
            <w:pPr>
              <w:widowControl w:val="0"/>
              <w:autoSpaceDE w:val="0"/>
              <w:autoSpaceDN w:val="0"/>
              <w:adjustRightInd w:val="0"/>
              <w:spacing w:after="0"/>
              <w:ind w:right="60"/>
              <w:jc w:val="center"/>
              <w:rPr>
                <w:b/>
                <w:noProof/>
              </w:rPr>
            </w:pPr>
          </w:p>
          <w:p w:rsidR="005E15C8" w:rsidRPr="00B436D3" w:rsidRDefault="005E15C8" w:rsidP="005E15C8">
            <w:pPr>
              <w:widowControl w:val="0"/>
              <w:autoSpaceDE w:val="0"/>
              <w:autoSpaceDN w:val="0"/>
              <w:adjustRightInd w:val="0"/>
              <w:spacing w:after="0"/>
              <w:ind w:right="60"/>
              <w:jc w:val="center"/>
              <w:rPr>
                <w:b/>
                <w:noProof/>
              </w:rPr>
            </w:pPr>
            <w:r w:rsidRPr="00B436D3">
              <w:rPr>
                <w:b/>
                <w:noProof/>
              </w:rPr>
              <w:t>Academic</w:t>
            </w:r>
          </w:p>
          <w:p w:rsidR="005E15C8" w:rsidRPr="00B436D3" w:rsidRDefault="005E15C8" w:rsidP="005E15C8">
            <w:pPr>
              <w:widowControl w:val="0"/>
              <w:autoSpaceDE w:val="0"/>
              <w:autoSpaceDN w:val="0"/>
              <w:adjustRightInd w:val="0"/>
              <w:spacing w:after="0"/>
              <w:ind w:right="60"/>
              <w:jc w:val="center"/>
              <w:rPr>
                <w:b/>
                <w:noProof/>
              </w:rPr>
            </w:pPr>
          </w:p>
        </w:tc>
      </w:tr>
      <w:tr w:rsidR="005E15C8" w:rsidRPr="006A747D" w:rsidTr="00B436D3">
        <w:tc>
          <w:tcPr>
            <w:tcW w:w="9302" w:type="dxa"/>
            <w:gridSpan w:val="3"/>
          </w:tcPr>
          <w:p w:rsidR="005E15C8" w:rsidRPr="00B436D3" w:rsidRDefault="005E15C8" w:rsidP="005E15C8">
            <w:pPr>
              <w:widowControl w:val="0"/>
              <w:autoSpaceDE w:val="0"/>
              <w:autoSpaceDN w:val="0"/>
              <w:adjustRightInd w:val="0"/>
              <w:spacing w:after="0"/>
              <w:ind w:right="60"/>
              <w:jc w:val="both"/>
              <w:rPr>
                <w:noProof/>
                <w:sz w:val="8"/>
                <w:szCs w:val="8"/>
              </w:rPr>
            </w:pPr>
          </w:p>
        </w:tc>
      </w:tr>
      <w:tr w:rsidR="005E15C8" w:rsidRPr="006A747D" w:rsidTr="00B436D3">
        <w:tc>
          <w:tcPr>
            <w:tcW w:w="2425" w:type="dxa"/>
            <w:shd w:val="clear" w:color="auto" w:fill="D9D9D9" w:themeFill="background1" w:themeFillShade="D9"/>
          </w:tcPr>
          <w:p w:rsidR="005E15C8" w:rsidRPr="005E15C8" w:rsidRDefault="005E15C8" w:rsidP="005E15C8">
            <w:pPr>
              <w:widowControl w:val="0"/>
              <w:autoSpaceDE w:val="0"/>
              <w:autoSpaceDN w:val="0"/>
              <w:adjustRightInd w:val="0"/>
              <w:spacing w:after="0"/>
              <w:ind w:right="60"/>
              <w:jc w:val="both"/>
              <w:rPr>
                <w:noProof/>
              </w:rPr>
            </w:pPr>
            <w:r w:rsidRPr="005E15C8">
              <w:rPr>
                <w:noProof/>
              </w:rPr>
              <w:t>Main Point</w:t>
            </w:r>
          </w:p>
        </w:tc>
        <w:tc>
          <w:tcPr>
            <w:tcW w:w="3776"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Recommendation</w:t>
            </w:r>
            <w:r w:rsidR="00C733D7">
              <w:rPr>
                <w:noProof/>
              </w:rPr>
              <w:t>s</w:t>
            </w:r>
            <w:r w:rsidRPr="005E15C8">
              <w:rPr>
                <w:noProof/>
              </w:rPr>
              <w:t xml:space="preserve">; action plan; report; </w:t>
            </w:r>
            <w:r w:rsidR="00C733D7">
              <w:rPr>
                <w:noProof/>
              </w:rPr>
              <w:t xml:space="preserve">white paper; </w:t>
            </w:r>
            <w:r w:rsidRPr="005E15C8">
              <w:rPr>
                <w:noProof/>
              </w:rPr>
              <w:t>manual; training program</w:t>
            </w:r>
          </w:p>
        </w:tc>
        <w:tc>
          <w:tcPr>
            <w:tcW w:w="3101"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Thesis; dissertation; argument; knowledge development</w:t>
            </w:r>
          </w:p>
        </w:tc>
      </w:tr>
      <w:tr w:rsidR="005E15C8" w:rsidRPr="006A747D" w:rsidTr="00B436D3">
        <w:tc>
          <w:tcPr>
            <w:tcW w:w="2425" w:type="dxa"/>
            <w:shd w:val="clear" w:color="auto" w:fill="D9D9D9" w:themeFill="background1" w:themeFillShade="D9"/>
          </w:tcPr>
          <w:p w:rsidR="005E15C8" w:rsidRPr="005E15C8" w:rsidRDefault="005E15C8" w:rsidP="005E15C8">
            <w:pPr>
              <w:widowControl w:val="0"/>
              <w:autoSpaceDE w:val="0"/>
              <w:autoSpaceDN w:val="0"/>
              <w:adjustRightInd w:val="0"/>
              <w:spacing w:after="0"/>
              <w:ind w:right="60"/>
              <w:jc w:val="both"/>
              <w:rPr>
                <w:noProof/>
              </w:rPr>
            </w:pPr>
            <w:r w:rsidRPr="005E15C8">
              <w:rPr>
                <w:noProof/>
              </w:rPr>
              <w:t>Purpose</w:t>
            </w:r>
          </w:p>
        </w:tc>
        <w:tc>
          <w:tcPr>
            <w:tcW w:w="3776"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Persuade; influence organisational decision-making and direction</w:t>
            </w:r>
          </w:p>
        </w:tc>
        <w:tc>
          <w:tcPr>
            <w:tcW w:w="3101"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Inform; contribute to bodies of knowledge</w:t>
            </w:r>
          </w:p>
        </w:tc>
      </w:tr>
      <w:tr w:rsidR="005E15C8" w:rsidRPr="006A747D" w:rsidTr="00B436D3">
        <w:tc>
          <w:tcPr>
            <w:tcW w:w="2425" w:type="dxa"/>
            <w:shd w:val="clear" w:color="auto" w:fill="D9D9D9" w:themeFill="background1" w:themeFillShade="D9"/>
          </w:tcPr>
          <w:p w:rsidR="005E15C8" w:rsidRPr="005E15C8" w:rsidRDefault="005E15C8" w:rsidP="005E15C8">
            <w:pPr>
              <w:widowControl w:val="0"/>
              <w:autoSpaceDE w:val="0"/>
              <w:autoSpaceDN w:val="0"/>
              <w:adjustRightInd w:val="0"/>
              <w:spacing w:after="0"/>
              <w:ind w:right="60"/>
              <w:jc w:val="both"/>
              <w:rPr>
                <w:noProof/>
              </w:rPr>
            </w:pPr>
            <w:r w:rsidRPr="005E15C8">
              <w:rPr>
                <w:noProof/>
              </w:rPr>
              <w:t>Content</w:t>
            </w:r>
          </w:p>
        </w:tc>
        <w:tc>
          <w:tcPr>
            <w:tcW w:w="3776"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Problem-solving; action-oriented; organisational data</w:t>
            </w:r>
          </w:p>
        </w:tc>
        <w:tc>
          <w:tcPr>
            <w:tcW w:w="3101"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Theory generation; meaning construction; theory testing</w:t>
            </w:r>
          </w:p>
        </w:tc>
      </w:tr>
      <w:tr w:rsidR="005E15C8" w:rsidRPr="006A747D" w:rsidTr="00B436D3">
        <w:tc>
          <w:tcPr>
            <w:tcW w:w="2425" w:type="dxa"/>
            <w:shd w:val="clear" w:color="auto" w:fill="D9D9D9" w:themeFill="background1" w:themeFillShade="D9"/>
          </w:tcPr>
          <w:p w:rsidR="005E15C8" w:rsidRPr="005E15C8" w:rsidRDefault="005E15C8" w:rsidP="005E15C8">
            <w:pPr>
              <w:widowControl w:val="0"/>
              <w:autoSpaceDE w:val="0"/>
              <w:autoSpaceDN w:val="0"/>
              <w:adjustRightInd w:val="0"/>
              <w:spacing w:after="0"/>
              <w:ind w:right="60"/>
              <w:jc w:val="both"/>
              <w:rPr>
                <w:noProof/>
              </w:rPr>
            </w:pPr>
            <w:r w:rsidRPr="005E15C8">
              <w:rPr>
                <w:noProof/>
              </w:rPr>
              <w:t>Audience</w:t>
            </w:r>
          </w:p>
        </w:tc>
        <w:tc>
          <w:tcPr>
            <w:tcW w:w="3776"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 xml:space="preserve">Generalists; practice-domain specialists; </w:t>
            </w:r>
            <w:r w:rsidR="00C733D7">
              <w:rPr>
                <w:noProof/>
              </w:rPr>
              <w:t>‘</w:t>
            </w:r>
            <w:r w:rsidRPr="005E15C8">
              <w:rPr>
                <w:noProof/>
              </w:rPr>
              <w:t>pracademics</w:t>
            </w:r>
            <w:r w:rsidR="00C733D7">
              <w:rPr>
                <w:noProof/>
              </w:rPr>
              <w:t>’</w:t>
            </w:r>
          </w:p>
        </w:tc>
        <w:tc>
          <w:tcPr>
            <w:tcW w:w="3101"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Experts; scholars; academics</w:t>
            </w:r>
          </w:p>
        </w:tc>
      </w:tr>
      <w:tr w:rsidR="005E15C8" w:rsidRPr="006A747D" w:rsidTr="00B436D3">
        <w:tc>
          <w:tcPr>
            <w:tcW w:w="2425" w:type="dxa"/>
            <w:shd w:val="clear" w:color="auto" w:fill="D9D9D9" w:themeFill="background1" w:themeFillShade="D9"/>
          </w:tcPr>
          <w:p w:rsidR="005E15C8" w:rsidRPr="005E15C8" w:rsidRDefault="005E15C8" w:rsidP="005E15C8">
            <w:pPr>
              <w:widowControl w:val="0"/>
              <w:autoSpaceDE w:val="0"/>
              <w:autoSpaceDN w:val="0"/>
              <w:adjustRightInd w:val="0"/>
              <w:spacing w:after="0"/>
              <w:ind w:right="60"/>
              <w:jc w:val="both"/>
              <w:rPr>
                <w:noProof/>
              </w:rPr>
            </w:pPr>
            <w:r w:rsidRPr="005E15C8">
              <w:rPr>
                <w:noProof/>
              </w:rPr>
              <w:t>Dissemination</w:t>
            </w:r>
          </w:p>
        </w:tc>
        <w:tc>
          <w:tcPr>
            <w:tcW w:w="3776"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Circulation; in-house; industry-specific</w:t>
            </w:r>
          </w:p>
        </w:tc>
        <w:tc>
          <w:tcPr>
            <w:tcW w:w="3101"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Publishing; peer-review</w:t>
            </w:r>
          </w:p>
        </w:tc>
      </w:tr>
      <w:tr w:rsidR="005E15C8" w:rsidRPr="006A747D" w:rsidTr="00B436D3">
        <w:tc>
          <w:tcPr>
            <w:tcW w:w="2425" w:type="dxa"/>
            <w:shd w:val="clear" w:color="auto" w:fill="D9D9D9" w:themeFill="background1" w:themeFillShade="D9"/>
          </w:tcPr>
          <w:p w:rsidR="005E15C8" w:rsidRPr="005E15C8" w:rsidRDefault="005E15C8" w:rsidP="005E15C8">
            <w:pPr>
              <w:widowControl w:val="0"/>
              <w:autoSpaceDE w:val="0"/>
              <w:autoSpaceDN w:val="0"/>
              <w:adjustRightInd w:val="0"/>
              <w:spacing w:after="0"/>
              <w:ind w:right="60"/>
              <w:jc w:val="both"/>
              <w:rPr>
                <w:noProof/>
              </w:rPr>
            </w:pPr>
            <w:r w:rsidRPr="005E15C8">
              <w:rPr>
                <w:noProof/>
              </w:rPr>
              <w:t>Readership</w:t>
            </w:r>
          </w:p>
        </w:tc>
        <w:tc>
          <w:tcPr>
            <w:tcW w:w="3776"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 xml:space="preserve">Large (including </w:t>
            </w:r>
            <w:r w:rsidR="00226AAA">
              <w:rPr>
                <w:noProof/>
              </w:rPr>
              <w:t xml:space="preserve">the </w:t>
            </w:r>
            <w:r w:rsidRPr="005E15C8">
              <w:rPr>
                <w:noProof/>
              </w:rPr>
              <w:t>general public)</w:t>
            </w:r>
          </w:p>
        </w:tc>
        <w:tc>
          <w:tcPr>
            <w:tcW w:w="3101" w:type="dxa"/>
          </w:tcPr>
          <w:p w:rsidR="005E15C8" w:rsidRPr="005E15C8" w:rsidRDefault="005E15C8" w:rsidP="005E15C8">
            <w:pPr>
              <w:widowControl w:val="0"/>
              <w:autoSpaceDE w:val="0"/>
              <w:autoSpaceDN w:val="0"/>
              <w:adjustRightInd w:val="0"/>
              <w:spacing w:after="0"/>
              <w:ind w:right="60"/>
              <w:jc w:val="center"/>
              <w:rPr>
                <w:noProof/>
              </w:rPr>
            </w:pPr>
            <w:r w:rsidRPr="005E15C8">
              <w:rPr>
                <w:noProof/>
              </w:rPr>
              <w:t>Limited, specialised</w:t>
            </w:r>
          </w:p>
        </w:tc>
      </w:tr>
    </w:tbl>
    <w:p w:rsidR="005E15C8" w:rsidRPr="005E15C8" w:rsidRDefault="005E15C8" w:rsidP="005E15C8">
      <w:pPr>
        <w:widowControl w:val="0"/>
        <w:autoSpaceDE w:val="0"/>
        <w:autoSpaceDN w:val="0"/>
        <w:adjustRightInd w:val="0"/>
        <w:spacing w:after="0"/>
        <w:ind w:right="60" w:firstLine="540"/>
        <w:jc w:val="both"/>
        <w:rPr>
          <w:noProof/>
        </w:rPr>
      </w:pPr>
    </w:p>
    <w:p w:rsidR="005E15C8" w:rsidRDefault="005E15C8" w:rsidP="005F0C52">
      <w:pPr>
        <w:widowControl w:val="0"/>
        <w:autoSpaceDE w:val="0"/>
        <w:autoSpaceDN w:val="0"/>
        <w:adjustRightInd w:val="0"/>
        <w:ind w:right="60"/>
        <w:rPr>
          <w:noProof/>
        </w:rPr>
      </w:pPr>
      <w:r w:rsidRPr="005E15C8">
        <w:rPr>
          <w:noProof/>
        </w:rPr>
        <w:t>As discussed in the following section, there are two deliverables required for the award of doctorate in Professional Studies program at University of Southern Queensland: as a result of the professional journey and a work-based project, participants generate an artefact</w:t>
      </w:r>
      <w:r w:rsidR="00507BF1">
        <w:rPr>
          <w:noProof/>
        </w:rPr>
        <w:t>;</w:t>
      </w:r>
      <w:r w:rsidRPr="005E15C8">
        <w:rPr>
          <w:noProof/>
        </w:rPr>
        <w:t xml:space="preserve"> and </w:t>
      </w:r>
      <w:r w:rsidR="00444F2B">
        <w:rPr>
          <w:noProof/>
        </w:rPr>
        <w:t>as a result of</w:t>
      </w:r>
      <w:r w:rsidRPr="005E15C8">
        <w:rPr>
          <w:noProof/>
        </w:rPr>
        <w:t xml:space="preserve"> the academic journey </w:t>
      </w:r>
      <w:r w:rsidR="00444F2B">
        <w:rPr>
          <w:noProof/>
        </w:rPr>
        <w:t>participants generate</w:t>
      </w:r>
      <w:r w:rsidR="00507BF1">
        <w:rPr>
          <w:noProof/>
        </w:rPr>
        <w:t xml:space="preserve"> a dissertation.</w:t>
      </w:r>
      <w:r w:rsidRPr="005E15C8">
        <w:rPr>
          <w:noProof/>
        </w:rPr>
        <w:t xml:space="preserve"> </w:t>
      </w:r>
      <w:r w:rsidR="00507BF1">
        <w:rPr>
          <w:noProof/>
        </w:rPr>
        <w:t>B</w:t>
      </w:r>
      <w:r w:rsidRPr="005E15C8">
        <w:rPr>
          <w:noProof/>
        </w:rPr>
        <w:t xml:space="preserve">oth of </w:t>
      </w:r>
      <w:r w:rsidR="00507BF1">
        <w:rPr>
          <w:noProof/>
        </w:rPr>
        <w:t>these</w:t>
      </w:r>
      <w:r w:rsidRPr="005E15C8">
        <w:rPr>
          <w:noProof/>
        </w:rPr>
        <w:t xml:space="preserve"> conform to the O’Leary and Hunt deliverables matrix in Table 2.</w:t>
      </w:r>
    </w:p>
    <w:p w:rsidR="005E15C8" w:rsidRPr="005F0C52" w:rsidRDefault="00154A59" w:rsidP="009104AC">
      <w:pPr>
        <w:pStyle w:val="Heading1"/>
        <w:rPr>
          <w:noProof/>
          <w:u w:val="single"/>
        </w:rPr>
      </w:pPr>
      <w:r w:rsidRPr="009104AC">
        <w:t xml:space="preserve">Professional Studies </w:t>
      </w:r>
      <w:r w:rsidR="005F0C52" w:rsidRPr="009104AC">
        <w:t>P</w:t>
      </w:r>
      <w:r w:rsidRPr="009104AC">
        <w:t>rogram</w:t>
      </w:r>
    </w:p>
    <w:p w:rsidR="005E15C8" w:rsidRPr="005E15C8" w:rsidRDefault="005E15C8" w:rsidP="005F0C52">
      <w:pPr>
        <w:widowControl w:val="0"/>
        <w:autoSpaceDE w:val="0"/>
        <w:autoSpaceDN w:val="0"/>
        <w:adjustRightInd w:val="0"/>
        <w:ind w:right="60"/>
        <w:rPr>
          <w:noProof/>
        </w:rPr>
      </w:pPr>
      <w:r w:rsidRPr="005E15C8">
        <w:rPr>
          <w:noProof/>
        </w:rPr>
        <w:t xml:space="preserve">A fundamental conclusion about the value of work-based learning and research is the recognition by governments and industry, and by society more generally, that there is a definite and measurable shortage of ‘advanced practice professionals’ in Australian workplaces. To this end, upskilling and training of the workforce are national priorities (e.g., Minerals Council of Australia, 2014). Indeed, as early as 2000, successive Australian governments have tried to address this shortage (e.g., Connell &amp; Burgess, 2001), and practice domains such as medicine </w:t>
      </w:r>
      <w:r w:rsidR="00377310">
        <w:rPr>
          <w:noProof/>
        </w:rPr>
        <w:t xml:space="preserve">and nursing </w:t>
      </w:r>
      <w:r w:rsidRPr="005E15C8">
        <w:rPr>
          <w:noProof/>
        </w:rPr>
        <w:t>have been specifically targeted (McGrath, 2004). As a result, it has long been recognised that in order to enjoy a “sustainable workforce”, Australia must develop “skills ecosystems” (Hall &amp; Lansbury, 2006) as well as more generally enhanced work-based learning and research. Thus, advanced practice professionals are those contributors who significantly extend knowledge and skills within a practical environment (such as a workplace), and thereby make a valuable difference to productivity and organisational output, and to society as a whole.</w:t>
      </w:r>
    </w:p>
    <w:p w:rsidR="005E15C8" w:rsidRPr="005E15C8" w:rsidRDefault="005E15C8" w:rsidP="005F0C52">
      <w:pPr>
        <w:widowControl w:val="0"/>
        <w:autoSpaceDE w:val="0"/>
        <w:autoSpaceDN w:val="0"/>
        <w:adjustRightInd w:val="0"/>
        <w:ind w:right="60"/>
        <w:rPr>
          <w:noProof/>
        </w:rPr>
      </w:pPr>
      <w:r w:rsidRPr="005E15C8">
        <w:rPr>
          <w:noProof/>
        </w:rPr>
        <w:t>Advanced practice professionals (in oncological primary care nursing</w:t>
      </w:r>
      <w:r w:rsidR="00377310">
        <w:rPr>
          <w:noProof/>
        </w:rPr>
        <w:t>, for example,</w:t>
      </w:r>
      <w:r w:rsidRPr="005E15C8">
        <w:rPr>
          <w:noProof/>
        </w:rPr>
        <w:t xml:space="preserve"> they are referred to as Advanced Practice Nurses [Sayers</w:t>
      </w:r>
      <w:r w:rsidR="00E6544E">
        <w:rPr>
          <w:noProof/>
        </w:rPr>
        <w:t xml:space="preserve">, </w:t>
      </w:r>
      <w:proofErr w:type="spellStart"/>
      <w:r w:rsidR="00E6544E">
        <w:t>DiGiacomo</w:t>
      </w:r>
      <w:proofErr w:type="spellEnd"/>
      <w:r w:rsidR="00E6544E" w:rsidRPr="00747491">
        <w:t>, &amp; Davidson</w:t>
      </w:r>
      <w:r w:rsidRPr="005E15C8">
        <w:rPr>
          <w:noProof/>
        </w:rPr>
        <w:t>, 2011]</w:t>
      </w:r>
      <w:r w:rsidR="00A86181">
        <w:rPr>
          <w:noProof/>
        </w:rPr>
        <w:t>,</w:t>
      </w:r>
      <w:r w:rsidRPr="005E15C8">
        <w:rPr>
          <w:noProof/>
        </w:rPr>
        <w:t xml:space="preserve"> but may have other names in different professions) have what some call ‘super-skills’. Super-skills often refer to highly specialised skills, such as those required in medical, construction, information technology and financial services professions, but can also relate to advanced practice in general, whereby professionals need not only specialist training in a discipline, but also need to develop problem-solving, field-independent and other cognitive and affective capabilities necessary to function effectively and efficiently in a rapidly changing, global world of work. </w:t>
      </w:r>
    </w:p>
    <w:p w:rsidR="005E15C8" w:rsidRPr="005E15C8" w:rsidRDefault="005E15C8" w:rsidP="005F0C52">
      <w:pPr>
        <w:widowControl w:val="0"/>
        <w:autoSpaceDE w:val="0"/>
        <w:autoSpaceDN w:val="0"/>
        <w:adjustRightInd w:val="0"/>
        <w:ind w:right="60"/>
        <w:rPr>
          <w:noProof/>
        </w:rPr>
      </w:pPr>
      <w:r w:rsidRPr="005E15C8">
        <w:rPr>
          <w:noProof/>
        </w:rPr>
        <w:t>Professional Studies Programs (PSP), like the one at University of Southern Queensland (which we abbreviate to USQPSP), have been conceived and implemented precisely to address the need for more advanced practice professionals in the Australian workplace, specifically for</w:t>
      </w:r>
      <w:r w:rsidR="00A96B78">
        <w:rPr>
          <w:noProof/>
        </w:rPr>
        <w:t xml:space="preserve"> mid-career professionals (MCP)</w:t>
      </w:r>
      <w:r w:rsidRPr="005E15C8">
        <w:rPr>
          <w:noProof/>
        </w:rPr>
        <w:t xml:space="preserve"> with a particular focus on equity and access (van der Laan &amp; Neary, 2016). We define a MCP as a middle or senior manager or practitioner with more than ten years’ professional </w:t>
      </w:r>
      <w:r w:rsidRPr="005E15C8">
        <w:rPr>
          <w:noProof/>
        </w:rPr>
        <w:lastRenderedPageBreak/>
        <w:t>experience in their practice domain (a generally accepted definition, such as that held by the U.S. Office of Personal Management). MCPs may want diversity and challenge in their workplace and the people with whom</w:t>
      </w:r>
      <w:r w:rsidR="00A96B78">
        <w:rPr>
          <w:noProof/>
        </w:rPr>
        <w:t xml:space="preserve"> they work.</w:t>
      </w:r>
      <w:r w:rsidRPr="005E15C8">
        <w:rPr>
          <w:noProof/>
        </w:rPr>
        <w:t xml:space="preserve"> </w:t>
      </w:r>
      <w:r w:rsidR="00A96B78">
        <w:rPr>
          <w:noProof/>
        </w:rPr>
        <w:t>I</w:t>
      </w:r>
      <w:r w:rsidRPr="005E15C8">
        <w:rPr>
          <w:noProof/>
        </w:rPr>
        <w:t>t is said that after proving themselves earlier in their careers, MCPs often also want to focus on the cultural values of their organization, and may want to add value to their workplace. In the USQPSP, MCPs are generally passionate about learning and are almost always motivated by altruism.</w:t>
      </w:r>
    </w:p>
    <w:p w:rsidR="009C55E2" w:rsidRDefault="005E15C8" w:rsidP="005F0C52">
      <w:pPr>
        <w:widowControl w:val="0"/>
        <w:autoSpaceDE w:val="0"/>
        <w:autoSpaceDN w:val="0"/>
        <w:adjustRightInd w:val="0"/>
        <w:ind w:right="60"/>
        <w:rPr>
          <w:noProof/>
        </w:rPr>
      </w:pPr>
      <w:r w:rsidRPr="005E15C8">
        <w:rPr>
          <w:noProof/>
        </w:rPr>
        <w:t xml:space="preserve">Like work-based learning, ‘Professional Studies’ is a term used to describe academic programs </w:t>
      </w:r>
      <w:r w:rsidR="00A96B78">
        <w:rPr>
          <w:noProof/>
        </w:rPr>
        <w:t>that</w:t>
      </w:r>
      <w:r w:rsidRPr="005E15C8">
        <w:rPr>
          <w:noProof/>
        </w:rPr>
        <w:t xml:space="preserve"> emphasise applied and non-traditional modes of knowledge and skills acquisition in higher education, and therefore these types of programs embrace formal, non-formal and informal pathways of learning. Lester and Costley (2010, p. 562) suggest it is a “transdisciplinary field that sits outside of subject frameworks and has its own set of norms and practices”. The first of these features is predicated largely on the so-called ‘learning-by-doing’ principle (Reece, 2011) and, as cited above, encourages action research (the principle is also referred to as “knowledge-by-action” and “knowing-by-practice” [e.g., Thistlethwaite, 2013]).  </w:t>
      </w:r>
    </w:p>
    <w:p w:rsidR="005E15C8" w:rsidRPr="005E15C8" w:rsidRDefault="005E15C8" w:rsidP="005F0C52">
      <w:pPr>
        <w:widowControl w:val="0"/>
        <w:autoSpaceDE w:val="0"/>
        <w:autoSpaceDN w:val="0"/>
        <w:adjustRightInd w:val="0"/>
        <w:ind w:right="60"/>
        <w:rPr>
          <w:noProof/>
        </w:rPr>
      </w:pPr>
      <w:r w:rsidRPr="005E15C8">
        <w:rPr>
          <w:noProof/>
        </w:rPr>
        <w:t>As Reece (2011, p. 1) points out, the principle of learning-by-doing means “learning from experiences resulting directly from one’s own actions, as contrasted with learning from watching others perform, reading others’ instructions or descriptions, or listening to others’ instructions or lectures”, an approach embedded in history (he specifically cites approaches like “discovery-versus-investigation”, the “practice-theory-practice” cycle, and “proof-upon-practice”, emphasising the relevance of the word “practice” to mean both repetition and praxis [p. 1] which is intrinsic to PSPs). To this end, PSPs also recognise and embrace concepts of ‘self-directed learning’ and ‘life-long learning’, principles embedded in theories and frameworks of competency and capability (a topic discussed</w:t>
      </w:r>
      <w:r w:rsidR="00A96B78">
        <w:rPr>
          <w:noProof/>
        </w:rPr>
        <w:t>, for example, by psychologists</w:t>
      </w:r>
      <w:r w:rsidRPr="005E15C8">
        <w:rPr>
          <w:noProof/>
        </w:rPr>
        <w:t xml:space="preserve"> </w:t>
      </w:r>
      <w:r w:rsidR="00A96B78">
        <w:rPr>
          <w:noProof/>
        </w:rPr>
        <w:t>[</w:t>
      </w:r>
      <w:r w:rsidRPr="005E15C8">
        <w:rPr>
          <w:noProof/>
        </w:rPr>
        <w:t>e.g., Wise et al., 2010</w:t>
      </w:r>
      <w:r w:rsidR="00A96B78">
        <w:rPr>
          <w:noProof/>
        </w:rPr>
        <w:t>]</w:t>
      </w:r>
      <w:r w:rsidRPr="005E15C8">
        <w:rPr>
          <w:noProof/>
        </w:rPr>
        <w:t>). In these ways, PSPs are highly individualised and designed to meet the specific personal and professional needs of each student and the workplaces to which they contribute.</w:t>
      </w:r>
    </w:p>
    <w:p w:rsidR="00C35E11" w:rsidRDefault="005E15C8" w:rsidP="005F0C52">
      <w:pPr>
        <w:widowControl w:val="0"/>
        <w:autoSpaceDE w:val="0"/>
        <w:autoSpaceDN w:val="0"/>
        <w:adjustRightInd w:val="0"/>
        <w:spacing w:after="0"/>
        <w:ind w:right="60"/>
        <w:rPr>
          <w:noProof/>
        </w:rPr>
      </w:pPr>
      <w:r w:rsidRPr="005E15C8">
        <w:rPr>
          <w:noProof/>
        </w:rPr>
        <w:t xml:space="preserve">However, to qualify at the highest level of education, these approaches must also be structurally sound and academically rigorous. For this reason, students in PSPs must also maintain the highest standards of research literacy and scholarship (for example, degrees in </w:t>
      </w:r>
      <w:r w:rsidR="0025061D">
        <w:rPr>
          <w:noProof/>
        </w:rPr>
        <w:t xml:space="preserve">the </w:t>
      </w:r>
      <w:r w:rsidRPr="005E15C8">
        <w:rPr>
          <w:noProof/>
        </w:rPr>
        <w:t>USQPSP meet the Australian Qualifications Framework [AQF] standards for Lev</w:t>
      </w:r>
      <w:r w:rsidR="00A96B78">
        <w:rPr>
          <w:noProof/>
        </w:rPr>
        <w:t>el 9 [Masters] and Level 10 [Ph</w:t>
      </w:r>
      <w:r w:rsidRPr="005E15C8">
        <w:rPr>
          <w:noProof/>
        </w:rPr>
        <w:t>D/Doctorate], as do other post-graduate programs in Australia, which state for Level 10: “graduates at this level will have systematic and critical understanding of a complex field of learning and specialised research skills for the advancement of learning and/or for professional practice” [Australian Qualifications Framework Council, 2013, p. 13]). Thus, PSPs offer the same qualification recognition and standard as traditional programs, but would argue they possibly provide more relevant outcomes with a focus on real-time, real-world challenges and opportunities.</w:t>
      </w:r>
    </w:p>
    <w:p w:rsidR="005F0C52" w:rsidRPr="00C35E11" w:rsidRDefault="005E15C8" w:rsidP="00747491">
      <w:pPr>
        <w:pStyle w:val="Heading2"/>
        <w:rPr>
          <w:noProof/>
        </w:rPr>
      </w:pPr>
      <w:r w:rsidRPr="005A1FF3">
        <w:t xml:space="preserve">Learning and </w:t>
      </w:r>
      <w:r w:rsidR="002D0FD0">
        <w:t>R</w:t>
      </w:r>
      <w:r w:rsidRPr="005A1FF3">
        <w:t>eflection</w:t>
      </w:r>
    </w:p>
    <w:p w:rsidR="009C55E2" w:rsidRDefault="005E15C8" w:rsidP="009C55E2">
      <w:pPr>
        <w:widowControl w:val="0"/>
        <w:autoSpaceDE w:val="0"/>
        <w:autoSpaceDN w:val="0"/>
        <w:adjustRightInd w:val="0"/>
        <w:ind w:right="60"/>
        <w:rPr>
          <w:noProof/>
        </w:rPr>
      </w:pPr>
      <w:r w:rsidRPr="005E15C8">
        <w:rPr>
          <w:noProof/>
        </w:rPr>
        <w:t>At the core of PSPs is ‘reflective practice’, a process well documented and encouraged in nursing and education (e.g., Sherwood &amp; Horton-Deutsch, 2011) but also applied in the workplace to enhance organisational learning (e.g., Hilden &amp; Tikkamä</w:t>
      </w:r>
      <w:r w:rsidR="000120AC">
        <w:rPr>
          <w:noProof/>
        </w:rPr>
        <w:t>ki, 2013). As shown in Figure 1</w:t>
      </w:r>
      <w:r w:rsidRPr="005E15C8">
        <w:rPr>
          <w:noProof/>
        </w:rPr>
        <w:t xml:space="preserve">(A) from Kolb’s (1984) model, professional reflection involves four main iterative steps: </w:t>
      </w:r>
      <w:r w:rsidR="000120AC">
        <w:rPr>
          <w:noProof/>
        </w:rPr>
        <w:t>(</w:t>
      </w:r>
      <w:r w:rsidRPr="005E15C8">
        <w:rPr>
          <w:noProof/>
        </w:rPr>
        <w:t xml:space="preserve">1) having a concrete, real-world experience (be it educational or work-related) &gt; </w:t>
      </w:r>
      <w:r w:rsidR="000120AC">
        <w:rPr>
          <w:noProof/>
        </w:rPr>
        <w:t>(</w:t>
      </w:r>
      <w:r w:rsidRPr="005E15C8">
        <w:rPr>
          <w:noProof/>
        </w:rPr>
        <w:t xml:space="preserve">2) reflecting on the experience by reviewing it critically and thereby possibly (and hopefully) learning from it &gt; </w:t>
      </w:r>
      <w:r w:rsidR="000120AC">
        <w:rPr>
          <w:noProof/>
        </w:rPr>
        <w:t>(</w:t>
      </w:r>
      <w:r w:rsidRPr="005E15C8">
        <w:rPr>
          <w:noProof/>
        </w:rPr>
        <w:t xml:space="preserve">3) planning and trying out something new at work on the basis of what one has learned (what some call ‘active experimentation’) &gt; </w:t>
      </w:r>
      <w:r w:rsidR="000120AC">
        <w:rPr>
          <w:noProof/>
        </w:rPr>
        <w:t>(</w:t>
      </w:r>
      <w:r w:rsidRPr="005E15C8">
        <w:rPr>
          <w:noProof/>
        </w:rPr>
        <w:t xml:space="preserve">4) having a concrete experience, and so on. </w:t>
      </w:r>
    </w:p>
    <w:p w:rsidR="005E15C8" w:rsidRPr="005E15C8" w:rsidRDefault="005E15C8" w:rsidP="002E2D8D">
      <w:pPr>
        <w:widowControl w:val="0"/>
        <w:autoSpaceDE w:val="0"/>
        <w:autoSpaceDN w:val="0"/>
        <w:adjustRightInd w:val="0"/>
        <w:spacing w:after="240"/>
        <w:ind w:right="62"/>
        <w:rPr>
          <w:noProof/>
        </w:rPr>
      </w:pPr>
      <w:r w:rsidRPr="005E15C8">
        <w:rPr>
          <w:noProof/>
        </w:rPr>
        <w:t xml:space="preserve">We call this a ‘micro-reflective cycle’, because it happens on the personal level within individuals and is therefore intimate to personal learning. Others, such as O’Connor and Diggins (2002), advocate different approaches but with the same essential structure leading to the same intended learning outcome. Kolb and others also recommend cycling through these steps more than once to increase </w:t>
      </w:r>
      <w:r w:rsidRPr="005E15C8">
        <w:rPr>
          <w:noProof/>
        </w:rPr>
        <w:lastRenderedPageBreak/>
        <w:t>learning in a process called ‘double-loop learning’ (e.g., Hilden &amp; Tikkamäki, 2013, p. 79). While some theorists worry about what they call a “dearth of evidence-based publications [in reflective practice]”, they also acknowledge that in education, for example, reflection is “recognised as a practice for enhancing and potentially deepening learning across the academy, nationally and internationally” (Harvey, 2016, p. 1), a view held by many others in related fields (e.g., Ryan, 2011).</w:t>
      </w:r>
    </w:p>
    <w:p w:rsidR="005E15C8" w:rsidRPr="005E15C8" w:rsidRDefault="005E15C8" w:rsidP="005E15C8">
      <w:pPr>
        <w:widowControl w:val="0"/>
        <w:autoSpaceDE w:val="0"/>
        <w:autoSpaceDN w:val="0"/>
        <w:adjustRightInd w:val="0"/>
        <w:spacing w:after="0"/>
        <w:ind w:right="60"/>
        <w:jc w:val="center"/>
        <w:rPr>
          <w:noProof/>
        </w:rPr>
      </w:pPr>
      <w:r w:rsidRPr="005E15C8">
        <w:rPr>
          <w:noProof/>
        </w:rPr>
        <w:drawing>
          <wp:inline distT="0" distB="0" distL="0" distR="0" wp14:anchorId="75F32813" wp14:editId="0C5567B4">
            <wp:extent cx="1981200" cy="2106519"/>
            <wp:effectExtent l="0" t="0" r="0" b="8255"/>
            <wp:docPr id="10" name="Picture 10" descr="C:\Users\Dr Lee Fergusson\AppData\Local\Microsoft\Windows\INetCache\Content.Word\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Dr Lee Fergusson\AppData\Local\Microsoft\Windows\INetCache\Content.Word\Slide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38861" cy="2167828"/>
                    </a:xfrm>
                    <a:prstGeom prst="rect">
                      <a:avLst/>
                    </a:prstGeom>
                    <a:noFill/>
                    <a:ln>
                      <a:noFill/>
                    </a:ln>
                  </pic:spPr>
                </pic:pic>
              </a:graphicData>
            </a:graphic>
          </wp:inline>
        </w:drawing>
      </w:r>
      <w:r w:rsidRPr="005E15C8">
        <w:rPr>
          <w:noProof/>
        </w:rPr>
        <w:t xml:space="preserve">           </w:t>
      </w:r>
      <w:r w:rsidRPr="005E15C8">
        <w:rPr>
          <w:noProof/>
        </w:rPr>
        <w:drawing>
          <wp:inline distT="0" distB="0" distL="0" distR="0" wp14:anchorId="43780F2D" wp14:editId="6FEB0052">
            <wp:extent cx="1993020" cy="2079171"/>
            <wp:effectExtent l="0" t="0" r="7620" b="0"/>
            <wp:docPr id="11" name="Picture 11" descr="C:\Users\Dr Lee Fergusson\AppData\Local\Microsoft\Windows\INetCache\Content.Word\Slid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Dr Lee Fergusson\AppData\Local\Microsoft\Windows\INetCache\Content.Word\Slide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07795" cy="2094585"/>
                    </a:xfrm>
                    <a:prstGeom prst="rect">
                      <a:avLst/>
                    </a:prstGeom>
                    <a:noFill/>
                    <a:ln>
                      <a:noFill/>
                    </a:ln>
                  </pic:spPr>
                </pic:pic>
              </a:graphicData>
            </a:graphic>
          </wp:inline>
        </w:drawing>
      </w:r>
    </w:p>
    <w:p w:rsidR="005E15C8" w:rsidRPr="005416C6" w:rsidRDefault="005E15C8" w:rsidP="00553B74">
      <w:pPr>
        <w:widowControl w:val="0"/>
        <w:autoSpaceDE w:val="0"/>
        <w:autoSpaceDN w:val="0"/>
        <w:adjustRightInd w:val="0"/>
        <w:spacing w:before="120" w:after="240"/>
        <w:ind w:right="62"/>
        <w:jc w:val="center"/>
        <w:rPr>
          <w:b/>
          <w:noProof/>
        </w:rPr>
      </w:pPr>
      <w:r w:rsidRPr="005416C6">
        <w:rPr>
          <w:b/>
          <w:noProof/>
        </w:rPr>
        <w:t>Figure 1</w:t>
      </w:r>
      <w:r w:rsidR="005416C6" w:rsidRPr="005416C6">
        <w:rPr>
          <w:b/>
          <w:noProof/>
        </w:rPr>
        <w:t>.</w:t>
      </w:r>
      <w:r w:rsidRPr="005416C6">
        <w:rPr>
          <w:b/>
          <w:noProof/>
        </w:rPr>
        <w:t xml:space="preserve"> Kolb’s (micro) reflective cycle, as it is practiced by the MCP (A), and the workplace project and research (macro) reflective cycle (B), as they apply to the USQPSP</w:t>
      </w:r>
    </w:p>
    <w:p w:rsidR="005B6CC3" w:rsidRDefault="000120AC" w:rsidP="005B6CC3">
      <w:pPr>
        <w:widowControl w:val="0"/>
        <w:autoSpaceDE w:val="0"/>
        <w:autoSpaceDN w:val="0"/>
        <w:adjustRightInd w:val="0"/>
        <w:ind w:right="60"/>
        <w:rPr>
          <w:noProof/>
        </w:rPr>
      </w:pPr>
      <w:r>
        <w:rPr>
          <w:noProof/>
        </w:rPr>
        <w:t>As shown in Figure 1</w:t>
      </w:r>
      <w:r w:rsidR="005E15C8" w:rsidRPr="005E15C8">
        <w:rPr>
          <w:noProof/>
        </w:rPr>
        <w:t>(B), reflective learning can also occur at larger time and distance scales, in this case at the program level, thus the reference to a ‘macro-reflective cycle’. In this process, the entire learning and research journey in the USQPSP can be mapped onto and integrated with Kolb’s cycle. As a result of the ‘micro-reflective cycle’ (A), each MCP in (B)</w:t>
      </w:r>
      <w:r>
        <w:rPr>
          <w:noProof/>
        </w:rPr>
        <w:t>:</w:t>
      </w:r>
      <w:r w:rsidR="005E15C8" w:rsidRPr="005E15C8">
        <w:rPr>
          <w:noProof/>
        </w:rPr>
        <w:t xml:space="preserve"> </w:t>
      </w:r>
      <w:r>
        <w:rPr>
          <w:noProof/>
        </w:rPr>
        <w:t>(</w:t>
      </w:r>
      <w:r w:rsidR="005E15C8" w:rsidRPr="005E15C8">
        <w:rPr>
          <w:noProof/>
        </w:rPr>
        <w:t xml:space="preserve">1) reflects, learns and engages in the program, thereby dovetailing the ‘micro-reflective cycle’ with Reflection &amp; Engagement &gt; and, as a result, </w:t>
      </w:r>
      <w:r>
        <w:rPr>
          <w:noProof/>
        </w:rPr>
        <w:t>(</w:t>
      </w:r>
      <w:r w:rsidR="005E15C8" w:rsidRPr="005E15C8">
        <w:rPr>
          <w:noProof/>
        </w:rPr>
        <w:t xml:space="preserve">2) is in a better position to scope and plan a work-based or workplace project, along with developing a research component (to be discussed in more detail below) &gt; resulting in </w:t>
      </w:r>
      <w:r>
        <w:rPr>
          <w:noProof/>
        </w:rPr>
        <w:t>(</w:t>
      </w:r>
      <w:r w:rsidR="005E15C8" w:rsidRPr="005E15C8">
        <w:rPr>
          <w:noProof/>
        </w:rPr>
        <w:t xml:space="preserve">3) a report (what we refer to </w:t>
      </w:r>
      <w:r w:rsidR="00CB4D01">
        <w:rPr>
          <w:noProof/>
        </w:rPr>
        <w:t xml:space="preserve">below </w:t>
      </w:r>
      <w:r w:rsidR="005E15C8" w:rsidRPr="005E15C8">
        <w:rPr>
          <w:noProof/>
        </w:rPr>
        <w:t xml:space="preserve">as an ‘artefact’ in the context of the USQPSP), thereby evidencing the triple dividend (also described below) &gt; which in turn leads to </w:t>
      </w:r>
      <w:r>
        <w:rPr>
          <w:noProof/>
        </w:rPr>
        <w:t>(</w:t>
      </w:r>
      <w:r w:rsidR="005E15C8" w:rsidRPr="005E15C8">
        <w:rPr>
          <w:noProof/>
        </w:rPr>
        <w:t xml:space="preserve">4) further reflection and engagement, and thereby more learning and understanding about oneself, one’s workplace, and one’s professional practice domain. </w:t>
      </w:r>
    </w:p>
    <w:p w:rsidR="00C35E11" w:rsidRDefault="005E15C8" w:rsidP="00C35E11">
      <w:pPr>
        <w:widowControl w:val="0"/>
        <w:autoSpaceDE w:val="0"/>
        <w:autoSpaceDN w:val="0"/>
        <w:adjustRightInd w:val="0"/>
        <w:spacing w:after="0"/>
        <w:ind w:right="60"/>
        <w:rPr>
          <w:noProof/>
        </w:rPr>
      </w:pPr>
      <w:r w:rsidRPr="005E15C8">
        <w:rPr>
          <w:noProof/>
        </w:rPr>
        <w:t>However, it is also important to acknowledge that these two reflective cycles, as practiced in the USQPSP, have been carefully designed to avoid the ethical pitfalls identified by Hobbs (2007), particularly those related to assessment and privacy. In the USQPSP, innovative tools and procedures have been specifically developed to aid the macro-reflective cycle (including the so-called ‘CV Tool’, the subject of a separate forthcoming research paper). More work around integrating these tools and procedures with macro-reflective cycles are under development, but include integrating learning objectives with research questions, for example, and evidence of reflective practice for MCP has been provided in the aforementioned accompanying paper.</w:t>
      </w:r>
    </w:p>
    <w:p w:rsidR="00C35E11" w:rsidRPr="00C35E11" w:rsidRDefault="005E15C8" w:rsidP="00747491">
      <w:pPr>
        <w:pStyle w:val="Heading2"/>
        <w:rPr>
          <w:noProof/>
        </w:rPr>
      </w:pPr>
      <w:r w:rsidRPr="005A1FF3">
        <w:t xml:space="preserve">Professional </w:t>
      </w:r>
      <w:r w:rsidR="002D0FD0">
        <w:t>P</w:t>
      </w:r>
      <w:r w:rsidRPr="005A1FF3">
        <w:t xml:space="preserve">ractice and </w:t>
      </w:r>
      <w:r w:rsidR="002D0FD0">
        <w:t>W</w:t>
      </w:r>
      <w:r w:rsidRPr="005A1FF3">
        <w:t xml:space="preserve">ork-based </w:t>
      </w:r>
      <w:r w:rsidR="002D0FD0">
        <w:t>R</w:t>
      </w:r>
      <w:r w:rsidRPr="005A1FF3">
        <w:t>esearch</w:t>
      </w:r>
    </w:p>
    <w:p w:rsidR="005E15C8" w:rsidRPr="005E15C8" w:rsidRDefault="005E15C8" w:rsidP="00C35E11">
      <w:pPr>
        <w:widowControl w:val="0"/>
        <w:autoSpaceDE w:val="0"/>
        <w:autoSpaceDN w:val="0"/>
        <w:adjustRightInd w:val="0"/>
        <w:spacing w:after="0"/>
        <w:ind w:right="60"/>
        <w:rPr>
          <w:noProof/>
        </w:rPr>
      </w:pPr>
      <w:r w:rsidRPr="005E15C8">
        <w:rPr>
          <w:noProof/>
        </w:rPr>
        <w:t>Building upon these two cycles, the USQPSP doctoral program has designed two integral and parallel strands to the MCP doctoral journey—a professional pathway of learning and proje</w:t>
      </w:r>
      <w:r w:rsidR="000120AC">
        <w:rPr>
          <w:noProof/>
        </w:rPr>
        <w:t xml:space="preserve">ct planning and implementation that </w:t>
      </w:r>
      <w:r w:rsidRPr="005E15C8">
        <w:rPr>
          <w:noProof/>
        </w:rPr>
        <w:t>is unique to the p</w:t>
      </w:r>
      <w:r w:rsidR="000120AC">
        <w:rPr>
          <w:noProof/>
        </w:rPr>
        <w:t xml:space="preserve">rogram, and a research pathway that </w:t>
      </w:r>
      <w:r w:rsidRPr="005E15C8">
        <w:rPr>
          <w:noProof/>
        </w:rPr>
        <w:t>includes the recognisable components of a standard applied research program, including use of the scientific method as it applies to action research—as shown in Figure 2.</w:t>
      </w:r>
    </w:p>
    <w:p w:rsidR="005E15C8" w:rsidRPr="005E15C8" w:rsidRDefault="005E15C8" w:rsidP="00553B74">
      <w:pPr>
        <w:widowControl w:val="0"/>
        <w:autoSpaceDE w:val="0"/>
        <w:autoSpaceDN w:val="0"/>
        <w:adjustRightInd w:val="0"/>
        <w:spacing w:after="0"/>
        <w:ind w:right="62"/>
        <w:jc w:val="both"/>
        <w:rPr>
          <w:noProof/>
        </w:rPr>
      </w:pPr>
      <w:r>
        <w:rPr>
          <w:noProof/>
        </w:rPr>
        <w:lastRenderedPageBreak/>
        <w:drawing>
          <wp:inline distT="0" distB="0" distL="0" distR="0" wp14:anchorId="257834DD" wp14:editId="0F90CB7E">
            <wp:extent cx="5486400" cy="1311965"/>
            <wp:effectExtent l="0" t="0" r="0" b="2540"/>
            <wp:docPr id="1" name="Picture 1" descr="C:\Users\Dr Lee Fergusson\AppData\Local\Microsoft\Windows\INetCache\Content.Word\Figure 2 160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r Lee Fergusson\AppData\Local\Microsoft\Windows\INetCache\Content.Word\Figure 2 160917.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30645" cy="1322545"/>
                    </a:xfrm>
                    <a:prstGeom prst="rect">
                      <a:avLst/>
                    </a:prstGeom>
                    <a:noFill/>
                    <a:ln>
                      <a:noFill/>
                    </a:ln>
                  </pic:spPr>
                </pic:pic>
              </a:graphicData>
            </a:graphic>
          </wp:inline>
        </w:drawing>
      </w:r>
    </w:p>
    <w:p w:rsidR="005E15C8" w:rsidRPr="00487F4B" w:rsidRDefault="005E15C8" w:rsidP="00553B74">
      <w:pPr>
        <w:widowControl w:val="0"/>
        <w:autoSpaceDE w:val="0"/>
        <w:autoSpaceDN w:val="0"/>
        <w:adjustRightInd w:val="0"/>
        <w:spacing w:before="120" w:after="240"/>
        <w:ind w:right="62"/>
        <w:jc w:val="center"/>
        <w:rPr>
          <w:b/>
          <w:noProof/>
        </w:rPr>
      </w:pPr>
      <w:r w:rsidRPr="00487F4B">
        <w:rPr>
          <w:b/>
          <w:noProof/>
        </w:rPr>
        <w:t>Figure 2</w:t>
      </w:r>
      <w:r w:rsidR="00487F4B">
        <w:rPr>
          <w:b/>
          <w:noProof/>
        </w:rPr>
        <w:t>.</w:t>
      </w:r>
      <w:r w:rsidRPr="00487F4B">
        <w:rPr>
          <w:b/>
          <w:noProof/>
        </w:rPr>
        <w:t xml:space="preserve"> Steps in the professional journey and in the research journey of the MCP </w:t>
      </w:r>
      <w:r w:rsidR="00487F4B">
        <w:rPr>
          <w:b/>
          <w:noProof/>
        </w:rPr>
        <w:t xml:space="preserve">              </w:t>
      </w:r>
      <w:r w:rsidRPr="00487F4B">
        <w:rPr>
          <w:b/>
          <w:noProof/>
        </w:rPr>
        <w:t xml:space="preserve">in the USQPSP doctoral program, showing their relationship and </w:t>
      </w:r>
      <w:r w:rsidR="00487F4B">
        <w:rPr>
          <w:b/>
          <w:noProof/>
        </w:rPr>
        <w:t xml:space="preserve">                                </w:t>
      </w:r>
      <w:r w:rsidRPr="00487F4B">
        <w:rPr>
          <w:b/>
          <w:noProof/>
        </w:rPr>
        <w:t>ultimate convergence in the doctoral qualification</w:t>
      </w:r>
    </w:p>
    <w:p w:rsidR="005E15C8" w:rsidRPr="005E15C8" w:rsidRDefault="005E15C8" w:rsidP="009C55E2">
      <w:pPr>
        <w:widowControl w:val="0"/>
        <w:autoSpaceDE w:val="0"/>
        <w:autoSpaceDN w:val="0"/>
        <w:adjustRightInd w:val="0"/>
        <w:ind w:right="60"/>
        <w:rPr>
          <w:noProof/>
        </w:rPr>
      </w:pPr>
      <w:r w:rsidRPr="005E15C8">
        <w:rPr>
          <w:noProof/>
        </w:rPr>
        <w:t>The first is the professional practice journey shown at the top of Figure 2, which begins with the MCPs micro-reflective cycle, including consideration of what s/he has done so far as a professional and what s/he has learned as a result of doing it. This process, after several iterative reflective cycles, results in the development of a learning profile, organised into taxonomic learning classes, such as analytical skills, problem solving, critical judgement, and emotional intelligence. After prioritisation and ranking, these learning classes are then used to form a ‘learning profile’ of professional capability, which helps the MCP identify key learning areas to bridge the gap between what has been learned and future learning aspirations. Based on this profile, the MCP then iden</w:t>
      </w:r>
      <w:r w:rsidR="00936B4B">
        <w:rPr>
          <w:noProof/>
        </w:rPr>
        <w:t xml:space="preserve">tifies key learning objectives that </w:t>
      </w:r>
      <w:r w:rsidRPr="005E15C8">
        <w:rPr>
          <w:noProof/>
        </w:rPr>
        <w:t xml:space="preserve">will enhance professional (and research) development. </w:t>
      </w:r>
    </w:p>
    <w:p w:rsidR="005E15C8" w:rsidRPr="005E15C8" w:rsidRDefault="005E15C8" w:rsidP="009C55E2">
      <w:pPr>
        <w:widowControl w:val="0"/>
        <w:autoSpaceDE w:val="0"/>
        <w:autoSpaceDN w:val="0"/>
        <w:adjustRightInd w:val="0"/>
        <w:ind w:right="60"/>
        <w:rPr>
          <w:noProof/>
        </w:rPr>
      </w:pPr>
      <w:r w:rsidRPr="005E15C8">
        <w:rPr>
          <w:noProof/>
        </w:rPr>
        <w:t xml:space="preserve">These learning objectives, often developed in consultation with peers or seniors in the workplace, also begin to narrow the needs and opportunities suited to both the learner and the workplace. Hence, the MCP, having developed an understanding of their own personal and professional competencies and capabilities as well as a deeper understanding of their world of work in conjunction and consultation with their workplace, peers, supervisors and broader practice domain, is in a formidable position to plan and implement a ‘work-based project’, the result of which is an artefact, such as a framework, training manual, report, white paper, or other documentation of the project. </w:t>
      </w:r>
    </w:p>
    <w:p w:rsidR="005E15C8" w:rsidRPr="005E15C8" w:rsidRDefault="005E15C8" w:rsidP="009C55E2">
      <w:pPr>
        <w:widowControl w:val="0"/>
        <w:autoSpaceDE w:val="0"/>
        <w:autoSpaceDN w:val="0"/>
        <w:adjustRightInd w:val="0"/>
        <w:ind w:right="60"/>
        <w:rPr>
          <w:noProof/>
        </w:rPr>
      </w:pPr>
      <w:r w:rsidRPr="005E15C8">
        <w:rPr>
          <w:noProof/>
        </w:rPr>
        <w:t>An example of this process might be as follows. Micro-reflective practice by the MCP revealed that, as a result of project managing a regional network of non-government organisations (NGOs), ‘I learnt how to manage a small team of staff and how to provide workload allocations and professional development support to members of the team’ and ‘I learnt how to utilise Queensland State Government protocols to influence government decisions and budget allocations’, which can be identified with the learning classes of ‘communication-related capabilities’ and ‘personal and social capabilities’. Along with a series of other professional traits and capabilities identified through reflective practice, these learning classes suggest that, while I am a good communicator and organiser, my ability to resolve conflict in the workplace and my knowledge of data gathering and analysis are limited (i.e., ‘I have developed a learning profile’). Therefore, ‘I need to enhance my problem-solving ability and social flexibility in pursing possible workplace solutions, along with a need to improve the quality of critical analysis and effectiveness of research strategies I employ’. The work-based project derived from such analysis could assess, for example, a new NGO management development program in organisational leadership and communications to be implemented in three regional Queensland NGOs with the participation of ten senior managers. The artefact for a work-based project of this type might be a management training manual.</w:t>
      </w:r>
    </w:p>
    <w:p w:rsidR="005E15C8" w:rsidRPr="005E15C8" w:rsidRDefault="005E15C8" w:rsidP="009C55E2">
      <w:pPr>
        <w:widowControl w:val="0"/>
        <w:autoSpaceDE w:val="0"/>
        <w:autoSpaceDN w:val="0"/>
        <w:adjustRightInd w:val="0"/>
        <w:ind w:right="60"/>
        <w:rPr>
          <w:noProof/>
        </w:rPr>
      </w:pPr>
      <w:r w:rsidRPr="005E15C8">
        <w:rPr>
          <w:noProof/>
        </w:rPr>
        <w:t>Running in parallel to professional practice is the work</w:t>
      </w:r>
      <w:r w:rsidR="0096712D">
        <w:rPr>
          <w:noProof/>
        </w:rPr>
        <w:t>-based</w:t>
      </w:r>
      <w:r w:rsidRPr="005E15C8">
        <w:rPr>
          <w:noProof/>
        </w:rPr>
        <w:t xml:space="preserve"> research journey, which begins in the Queensland NGO practice domain. As a result of both reflection and a review of the literature, the MCP identifies a ‘problem’ for the domain, which may include a gap in the literature, a need or opportunity for improvement, or a recommendation from prior research. The problem may be a documented lack of effective NGO management training in the areas of communication and </w:t>
      </w:r>
      <w:r w:rsidRPr="005E15C8">
        <w:rPr>
          <w:noProof/>
        </w:rPr>
        <w:lastRenderedPageBreak/>
        <w:t xml:space="preserve">planning. In conjunction with this preliminary analysis, the MCP also begins </w:t>
      </w:r>
      <w:r w:rsidR="0096712D">
        <w:rPr>
          <w:noProof/>
        </w:rPr>
        <w:t xml:space="preserve">a </w:t>
      </w:r>
      <w:r w:rsidRPr="005E15C8">
        <w:rPr>
          <w:noProof/>
        </w:rPr>
        <w:t xml:space="preserve">study, through coursework and online activities and reading, of methodologies and paradigms, and those principles and concepts </w:t>
      </w:r>
      <w:r w:rsidR="00936B4B">
        <w:rPr>
          <w:noProof/>
        </w:rPr>
        <w:t>that</w:t>
      </w:r>
      <w:r w:rsidRPr="005E15C8">
        <w:rPr>
          <w:noProof/>
        </w:rPr>
        <w:t xml:space="preserve"> underpin and ground theory for the practice domain; </w:t>
      </w:r>
      <w:r w:rsidR="0096712D">
        <w:rPr>
          <w:noProof/>
        </w:rPr>
        <w:t xml:space="preserve">developing skills in </w:t>
      </w:r>
      <w:r w:rsidRPr="005E15C8">
        <w:rPr>
          <w:noProof/>
        </w:rPr>
        <w:t>research methods, logic, and critical thinking, critical reading and critical writing, form a part of th</w:t>
      </w:r>
      <w:r w:rsidR="00CA1F52">
        <w:rPr>
          <w:noProof/>
        </w:rPr>
        <w:t>e</w:t>
      </w:r>
      <w:r w:rsidRPr="005E15C8">
        <w:rPr>
          <w:noProof/>
        </w:rPr>
        <w:t xml:space="preserve"> research journey.</w:t>
      </w:r>
    </w:p>
    <w:p w:rsidR="005E15C8" w:rsidRPr="005E15C8" w:rsidRDefault="005E15C8" w:rsidP="009C55E2">
      <w:pPr>
        <w:widowControl w:val="0"/>
        <w:autoSpaceDE w:val="0"/>
        <w:autoSpaceDN w:val="0"/>
        <w:adjustRightInd w:val="0"/>
        <w:ind w:right="60"/>
        <w:rPr>
          <w:noProof/>
        </w:rPr>
      </w:pPr>
      <w:r w:rsidRPr="005E15C8">
        <w:rPr>
          <w:noProof/>
        </w:rPr>
        <w:t>As a result of this process, the MCP develops a research question to address the problem statement. An example of a research question in the present context might be: What is the impact of training X over a 12-month period on the communication performance and problem-solving abilities of senior NGO managers in Queensland? At this time, an iterative correlation and synchronicity begins to form between the learning objectives developed in the professional journey and the research question, with research questions leading the MCP to identify and isolate relevant variables and workplace research methods, as described in the previous section of this paper, which are suitable to test and evaluate her/his work-based project. The final outcome of the research journe</w:t>
      </w:r>
      <w:r w:rsidR="00561A9A">
        <w:rPr>
          <w:noProof/>
        </w:rPr>
        <w:t>y, as is the case with other PhD</w:t>
      </w:r>
      <w:r w:rsidRPr="005E15C8">
        <w:rPr>
          <w:noProof/>
        </w:rPr>
        <w:t xml:space="preserve"> and doctoral programs, is a dissertation of research, which, when converged with the artefact, results in the qualification of Doctor of Professional Studies (DPRS). In summary then, in the context of a work environment, the reflective cycle and research in the USQPSP includes selecting a problem focus, clarifying theories, identifying research questions, collecting data, analysing data, reporting results in an artefact and dissertation, and ultimately taking an informed, evidence-based action to address or solve a specific workplace problem.</w:t>
      </w:r>
    </w:p>
    <w:p w:rsidR="005E15C8" w:rsidRPr="005E15C8" w:rsidRDefault="005E15C8" w:rsidP="009C55E2">
      <w:pPr>
        <w:widowControl w:val="0"/>
        <w:autoSpaceDE w:val="0"/>
        <w:autoSpaceDN w:val="0"/>
        <w:adjustRightInd w:val="0"/>
        <w:ind w:right="60"/>
        <w:rPr>
          <w:noProof/>
        </w:rPr>
      </w:pPr>
      <w:r w:rsidRPr="005E15C8">
        <w:rPr>
          <w:noProof/>
        </w:rPr>
        <w:t xml:space="preserve">The overall outcome from the USQPSP learning contract, which combines a work-based project with a research component for each MCP, is what is called the ‘triple dividend’, meaning benefit for: </w:t>
      </w:r>
      <w:r w:rsidR="00561A9A">
        <w:rPr>
          <w:noProof/>
        </w:rPr>
        <w:t>(</w:t>
      </w:r>
      <w:r w:rsidRPr="005E15C8">
        <w:rPr>
          <w:noProof/>
        </w:rPr>
        <w:t xml:space="preserve">1) the individual; </w:t>
      </w:r>
      <w:r w:rsidR="00561A9A">
        <w:rPr>
          <w:noProof/>
        </w:rPr>
        <w:t>(</w:t>
      </w:r>
      <w:r w:rsidRPr="005E15C8">
        <w:rPr>
          <w:noProof/>
        </w:rPr>
        <w:t xml:space="preserve">2) the organisation; and </w:t>
      </w:r>
      <w:r w:rsidR="00561A9A">
        <w:rPr>
          <w:noProof/>
        </w:rPr>
        <w:t>(</w:t>
      </w:r>
      <w:r w:rsidRPr="005E15C8">
        <w:rPr>
          <w:noProof/>
        </w:rPr>
        <w:t>3) the profession (not to be confused with the “triple bottom line” of profit, people and planet). The individual dividend is in self-development; the work-based project</w:t>
      </w:r>
      <w:r w:rsidR="00561A9A">
        <w:rPr>
          <w:noProof/>
        </w:rPr>
        <w:t>,</w:t>
      </w:r>
      <w:r w:rsidRPr="005E15C8">
        <w:rPr>
          <w:noProof/>
        </w:rPr>
        <w:t xml:space="preserve"> and the research study </w:t>
      </w:r>
      <w:r w:rsidR="00561A9A">
        <w:rPr>
          <w:noProof/>
        </w:rPr>
        <w:t xml:space="preserve">that evaluates it, </w:t>
      </w:r>
      <w:r w:rsidRPr="005E15C8">
        <w:rPr>
          <w:noProof/>
        </w:rPr>
        <w:t>contribute</w:t>
      </w:r>
      <w:r w:rsidR="00561A9A">
        <w:rPr>
          <w:noProof/>
        </w:rPr>
        <w:t>s</w:t>
      </w:r>
      <w:r w:rsidRPr="005E15C8">
        <w:rPr>
          <w:noProof/>
        </w:rPr>
        <w:t xml:space="preserve"> to the MCP’s self-development, both professionally and personally, by achieving her/his pr</w:t>
      </w:r>
      <w:r w:rsidR="00561A9A">
        <w:rPr>
          <w:noProof/>
        </w:rPr>
        <w:t>e-agreed overall learning goals. The goals</w:t>
      </w:r>
      <w:r w:rsidRPr="005E15C8">
        <w:rPr>
          <w:noProof/>
        </w:rPr>
        <w:t xml:space="preserve"> usually include improving communication skills, critical thinking skills, and research skills, coupled with gaining new knowledge, but may be as basic as improving the chances of job promotion or career advancement. </w:t>
      </w:r>
    </w:p>
    <w:p w:rsidR="005E15C8" w:rsidRPr="005E15C8" w:rsidRDefault="005E15C8" w:rsidP="009C55E2">
      <w:pPr>
        <w:widowControl w:val="0"/>
        <w:autoSpaceDE w:val="0"/>
        <w:autoSpaceDN w:val="0"/>
        <w:adjustRightInd w:val="0"/>
        <w:ind w:right="60"/>
        <w:rPr>
          <w:noProof/>
        </w:rPr>
      </w:pPr>
      <w:r w:rsidRPr="005E15C8">
        <w:rPr>
          <w:noProof/>
        </w:rPr>
        <w:t>The organisational dividend is benefit to t</w:t>
      </w:r>
      <w:r w:rsidR="00561A9A">
        <w:rPr>
          <w:noProof/>
        </w:rPr>
        <w:t>he workplace or practice domain.</w:t>
      </w:r>
      <w:r w:rsidRPr="005E15C8">
        <w:rPr>
          <w:noProof/>
        </w:rPr>
        <w:t xml:space="preserve"> </w:t>
      </w:r>
      <w:r w:rsidR="00561A9A">
        <w:rPr>
          <w:noProof/>
        </w:rPr>
        <w:t>T</w:t>
      </w:r>
      <w:r w:rsidRPr="005E15C8">
        <w:rPr>
          <w:noProof/>
        </w:rPr>
        <w:t xml:space="preserve">he work-based project and the research study </w:t>
      </w:r>
      <w:r w:rsidR="00561A9A">
        <w:rPr>
          <w:noProof/>
        </w:rPr>
        <w:t>that</w:t>
      </w:r>
      <w:r w:rsidRPr="005E15C8">
        <w:rPr>
          <w:noProof/>
        </w:rPr>
        <w:t xml:space="preserve"> evaluates it, provide measurable and significant contributions to workplace or organisational improvement through innovation, problem solving, new data and analysis, product development and/or strategic insight. Other dividends may include aiding the development of practice, programs, policy and corporate culture. The professional dividend is to academia and practice: the work-based project and the research study </w:t>
      </w:r>
      <w:r w:rsidR="00561A9A">
        <w:rPr>
          <w:noProof/>
        </w:rPr>
        <w:t>that evaluates it</w:t>
      </w:r>
      <w:r w:rsidRPr="005E15C8">
        <w:rPr>
          <w:noProof/>
        </w:rPr>
        <w:t xml:space="preserve"> contribute to professional practice as supported by academically sound evidence and observations in terms of a rigorous research design.</w:t>
      </w:r>
    </w:p>
    <w:p w:rsidR="004B171E" w:rsidRPr="005E15C8" w:rsidRDefault="005E15C8" w:rsidP="009C55E2">
      <w:pPr>
        <w:widowControl w:val="0"/>
        <w:autoSpaceDE w:val="0"/>
        <w:autoSpaceDN w:val="0"/>
        <w:adjustRightInd w:val="0"/>
        <w:ind w:right="60"/>
        <w:rPr>
          <w:noProof/>
        </w:rPr>
      </w:pPr>
      <w:r w:rsidRPr="005E15C8">
        <w:rPr>
          <w:noProof/>
        </w:rPr>
        <w:t>Tensions and conflict can exist between demands in the workplace and the need to develo</w:t>
      </w:r>
      <w:r w:rsidR="00561A9A">
        <w:rPr>
          <w:noProof/>
        </w:rPr>
        <w:t>p capable and relevant practice</w:t>
      </w:r>
      <w:r w:rsidRPr="005E15C8">
        <w:rPr>
          <w:noProof/>
        </w:rPr>
        <w:t xml:space="preserve"> while supporting personal development and maintaining academic rigour and validity in research (e.g., Amah, 2014; Lepine</w:t>
      </w:r>
      <w:r w:rsidR="003653CE">
        <w:rPr>
          <w:noProof/>
        </w:rPr>
        <w:t>,</w:t>
      </w:r>
      <w:r w:rsidR="003653CE" w:rsidRPr="003653CE">
        <w:t xml:space="preserve"> </w:t>
      </w:r>
      <w:proofErr w:type="spellStart"/>
      <w:r w:rsidR="003653CE">
        <w:t>Podsakoff</w:t>
      </w:r>
      <w:proofErr w:type="spellEnd"/>
      <w:r w:rsidR="003653CE" w:rsidRPr="00747491">
        <w:t xml:space="preserve">, &amp; </w:t>
      </w:r>
      <w:proofErr w:type="spellStart"/>
      <w:r w:rsidR="003653CE" w:rsidRPr="00747491">
        <w:t>Lepine</w:t>
      </w:r>
      <w:proofErr w:type="spellEnd"/>
      <w:r w:rsidRPr="005E15C8">
        <w:rPr>
          <w:noProof/>
        </w:rPr>
        <w:t xml:space="preserve">, 2005). These may even manifest in MCP ill-health, sleep disturbance and reduced productivity (e.g., Lizano &amp; </w:t>
      </w:r>
      <w:proofErr w:type="spellStart"/>
      <w:proofErr w:type="gramStart"/>
      <w:r w:rsidR="003653CE" w:rsidRPr="00747491">
        <w:t>Mor</w:t>
      </w:r>
      <w:proofErr w:type="spellEnd"/>
      <w:proofErr w:type="gramEnd"/>
      <w:r w:rsidR="003653CE" w:rsidRPr="00747491">
        <w:t xml:space="preserve"> </w:t>
      </w:r>
      <w:r w:rsidRPr="005E15C8">
        <w:rPr>
          <w:noProof/>
        </w:rPr>
        <w:t>Barak, 2012). However, universities are beginning to engage with these issues at a deeper level than suggested by simple notions of employer engagement and skills development, and evidence indicates that well-designed work-based programs are both effective and robust when addressing these concerns and challenges (Lester &amp; Costley, 2010).</w:t>
      </w:r>
    </w:p>
    <w:p w:rsidR="005E15C8" w:rsidRPr="00C35E11" w:rsidRDefault="005E15C8" w:rsidP="009104AC">
      <w:pPr>
        <w:pStyle w:val="Heading1"/>
        <w:rPr>
          <w:noProof/>
          <w:u w:val="single"/>
        </w:rPr>
      </w:pPr>
      <w:r w:rsidRPr="009104AC">
        <w:t>Conclusion</w:t>
      </w:r>
    </w:p>
    <w:p w:rsidR="005E15C8" w:rsidRPr="005E15C8" w:rsidRDefault="005E15C8" w:rsidP="00E9729D">
      <w:pPr>
        <w:widowControl w:val="0"/>
        <w:autoSpaceDE w:val="0"/>
        <w:autoSpaceDN w:val="0"/>
        <w:adjustRightInd w:val="0"/>
        <w:ind w:right="60"/>
        <w:rPr>
          <w:noProof/>
        </w:rPr>
      </w:pPr>
      <w:r w:rsidRPr="005E15C8">
        <w:rPr>
          <w:noProof/>
        </w:rPr>
        <w:t xml:space="preserve">In this paper, we have considered work-based learning in relation to work-based research, and have sought to identify evidence of both in the Professional Studies Program as conceived and implemented at the University of Southern Queensland in Australia. One of the basic conclusions </w:t>
      </w:r>
      <w:r w:rsidRPr="005E15C8">
        <w:rPr>
          <w:noProof/>
        </w:rPr>
        <w:lastRenderedPageBreak/>
        <w:t xml:space="preserve">of this paper is that research and scholarship are both important to and integral in work-based learning, and we have shown how, through the Professional Studies Program, these two elements of work-based learning have been incorporated into the doctoral program for mid-career professionals. </w:t>
      </w:r>
    </w:p>
    <w:p w:rsidR="00D63624" w:rsidRDefault="005E15C8" w:rsidP="00E9729D">
      <w:pPr>
        <w:widowControl w:val="0"/>
        <w:autoSpaceDE w:val="0"/>
        <w:autoSpaceDN w:val="0"/>
        <w:adjustRightInd w:val="0"/>
        <w:ind w:right="60"/>
        <w:rPr>
          <w:noProof/>
        </w:rPr>
      </w:pPr>
      <w:r w:rsidRPr="005E15C8">
        <w:rPr>
          <w:noProof/>
        </w:rPr>
        <w:t>Specifically, we have identified the MCP’s ongoing pr</w:t>
      </w:r>
      <w:r w:rsidR="00AB3BCA">
        <w:rPr>
          <w:noProof/>
        </w:rPr>
        <w:t xml:space="preserve">ofessional work-based practice that </w:t>
      </w:r>
      <w:r w:rsidRPr="005E15C8">
        <w:rPr>
          <w:noProof/>
        </w:rPr>
        <w:t>develops in the Program to a work-based project, such as an organisational improvement or management development pro</w:t>
      </w:r>
      <w:r w:rsidR="00AB3BCA">
        <w:rPr>
          <w:noProof/>
        </w:rPr>
        <w:t>gram for administrators of NGOs</w:t>
      </w:r>
      <w:r w:rsidRPr="005E15C8">
        <w:rPr>
          <w:noProof/>
        </w:rPr>
        <w:t xml:space="preserve"> as one leg of the professional research journey. Such practice results in a deliverable, what we have called an ‘artefact’, such as a report, model, framework, or other tangible output of the work-based project. </w:t>
      </w:r>
    </w:p>
    <w:p w:rsidR="005E15C8" w:rsidRPr="005E15C8" w:rsidRDefault="005E15C8" w:rsidP="00E9729D">
      <w:pPr>
        <w:widowControl w:val="0"/>
        <w:autoSpaceDE w:val="0"/>
        <w:autoSpaceDN w:val="0"/>
        <w:adjustRightInd w:val="0"/>
        <w:ind w:right="60"/>
        <w:rPr>
          <w:noProof/>
        </w:rPr>
      </w:pPr>
      <w:r w:rsidRPr="005E15C8">
        <w:rPr>
          <w:noProof/>
        </w:rPr>
        <w:t xml:space="preserve">The other element of the Program is the work-based research developed around the project to measure, test, assess or evaluate its impact on the workplace or practice domain. In the context of the USQ doctoral Professional Studies Program, students develop quantitative, qualitative or mixed method research designs which after implementation result in the generation of a dissertation. Taken together, the artefact and dissertation form </w:t>
      </w:r>
      <w:r w:rsidR="00AB3BCA">
        <w:rPr>
          <w:noProof/>
        </w:rPr>
        <w:t>the basis upon which MCP</w:t>
      </w:r>
      <w:r w:rsidRPr="005E15C8">
        <w:rPr>
          <w:noProof/>
        </w:rPr>
        <w:t xml:space="preserve">s in the Program are assessed for competence and capability to operate as ‘scholarly professionals’. </w:t>
      </w:r>
    </w:p>
    <w:p w:rsidR="002D0FD0" w:rsidRPr="005E15C8" w:rsidRDefault="005E15C8" w:rsidP="009104AC">
      <w:pPr>
        <w:widowControl w:val="0"/>
        <w:autoSpaceDE w:val="0"/>
        <w:autoSpaceDN w:val="0"/>
        <w:adjustRightInd w:val="0"/>
        <w:ind w:right="60"/>
        <w:rPr>
          <w:noProof/>
        </w:rPr>
      </w:pPr>
      <w:r w:rsidRPr="005E15C8">
        <w:rPr>
          <w:noProof/>
        </w:rPr>
        <w:t xml:space="preserve">We suggest that work-based learning and work-based research address the complexities, challenges and future demands of Australian workplaces along with the work, mobility and personal development needs of mid-career professionals. </w:t>
      </w:r>
      <w:bookmarkStart w:id="13" w:name="_Hlk500011273"/>
      <w:r w:rsidR="00AC5F7D">
        <w:rPr>
          <w:noProof/>
        </w:rPr>
        <w:t xml:space="preserve">By </w:t>
      </w:r>
      <w:r w:rsidR="00BF2C8B">
        <w:rPr>
          <w:noProof/>
        </w:rPr>
        <w:t>examin</w:t>
      </w:r>
      <w:r w:rsidR="00AC5F7D">
        <w:rPr>
          <w:noProof/>
        </w:rPr>
        <w:t>ing two case studies in the Australian work-place learning and research context, i</w:t>
      </w:r>
      <w:r w:rsidRPr="005E15C8">
        <w:rPr>
          <w:noProof/>
        </w:rPr>
        <w:t>n an accompanying paper</w:t>
      </w:r>
      <w:r w:rsidR="0015066E">
        <w:rPr>
          <w:noProof/>
        </w:rPr>
        <w:t xml:space="preserve"> (Fergusson et al., 2018)</w:t>
      </w:r>
      <w:r w:rsidRPr="005E15C8">
        <w:rPr>
          <w:noProof/>
        </w:rPr>
        <w:t xml:space="preserve"> we provide further evidence of how ‘advanced practice professional</w:t>
      </w:r>
      <w:r w:rsidR="00AC5F7D">
        <w:rPr>
          <w:noProof/>
        </w:rPr>
        <w:t>s</w:t>
      </w:r>
      <w:r w:rsidRPr="005E15C8">
        <w:rPr>
          <w:noProof/>
        </w:rPr>
        <w:t>’</w:t>
      </w:r>
      <w:r w:rsidR="00AC5F7D">
        <w:rPr>
          <w:noProof/>
        </w:rPr>
        <w:t xml:space="preserve"> conceive and execute </w:t>
      </w:r>
      <w:r w:rsidR="00BF2C8B">
        <w:rPr>
          <w:noProof/>
        </w:rPr>
        <w:t xml:space="preserve">mixed method </w:t>
      </w:r>
      <w:r w:rsidR="00AC5F7D">
        <w:rPr>
          <w:noProof/>
        </w:rPr>
        <w:t>work-based research in the USQPSP doc</w:t>
      </w:r>
      <w:r w:rsidR="00BF2C8B">
        <w:rPr>
          <w:noProof/>
        </w:rPr>
        <w:t>to</w:t>
      </w:r>
      <w:r w:rsidR="00AB3BCA">
        <w:rPr>
          <w:noProof/>
        </w:rPr>
        <w:t>ral program;</w:t>
      </w:r>
      <w:r w:rsidR="00AC5F7D">
        <w:rPr>
          <w:noProof/>
        </w:rPr>
        <w:t xml:space="preserve"> one in the field of authenitic safety leadership and its role in workplace health, safety and wellness, and a second </w:t>
      </w:r>
      <w:r w:rsidR="00AB3BCA">
        <w:rPr>
          <w:noProof/>
        </w:rPr>
        <w:t>that</w:t>
      </w:r>
      <w:r w:rsidR="00AC5F7D">
        <w:rPr>
          <w:noProof/>
        </w:rPr>
        <w:t xml:space="preserve"> investigate</w:t>
      </w:r>
      <w:r w:rsidR="00BF2C8B">
        <w:rPr>
          <w:noProof/>
        </w:rPr>
        <w:t>s</w:t>
      </w:r>
      <w:r w:rsidR="00AC5F7D">
        <w:rPr>
          <w:noProof/>
        </w:rPr>
        <w:t xml:space="preserve"> the professional identity of investigators in the Australian Public Service.</w:t>
      </w:r>
      <w:bookmarkEnd w:id="13"/>
    </w:p>
    <w:p w:rsidR="005E15C8" w:rsidRPr="00E9729D" w:rsidRDefault="005E15C8" w:rsidP="009104AC">
      <w:pPr>
        <w:pStyle w:val="Heading1"/>
        <w:rPr>
          <w:noProof/>
          <w:u w:val="single"/>
        </w:rPr>
      </w:pPr>
      <w:r w:rsidRPr="009104AC">
        <w:t>References</w:t>
      </w:r>
      <w:bookmarkStart w:id="14" w:name="_ENREF_2"/>
    </w:p>
    <w:p w:rsidR="005E15C8" w:rsidRPr="00747491" w:rsidRDefault="005E15C8" w:rsidP="00747491">
      <w:pPr>
        <w:pStyle w:val="References"/>
      </w:pPr>
      <w:bookmarkStart w:id="15" w:name="_Hlk500018030"/>
      <w:proofErr w:type="gramStart"/>
      <w:r w:rsidRPr="00747491">
        <w:t>Amah, O.</w:t>
      </w:r>
      <w:r w:rsidR="00E6544E">
        <w:t xml:space="preserve"> </w:t>
      </w:r>
      <w:r w:rsidRPr="00747491">
        <w:t>E. (2014).</w:t>
      </w:r>
      <w:proofErr w:type="gramEnd"/>
      <w:r w:rsidRPr="00747491">
        <w:t xml:space="preserve"> Challenge and hindrance stress relationship with job satisfaction and life satisfaction: The role of motivation-to-work and self-efficacy. </w:t>
      </w:r>
      <w:r w:rsidRPr="00747491">
        <w:rPr>
          <w:i/>
        </w:rPr>
        <w:t>International Journal of Humanities and Social Science, 4</w:t>
      </w:r>
      <w:r w:rsidRPr="00747491">
        <w:t>(6), 27-37.</w:t>
      </w:r>
    </w:p>
    <w:p w:rsidR="005E15C8" w:rsidRPr="00747491" w:rsidRDefault="005E15C8" w:rsidP="00747491">
      <w:pPr>
        <w:pStyle w:val="References"/>
      </w:pPr>
      <w:proofErr w:type="gramStart"/>
      <w:r w:rsidRPr="00747491">
        <w:t>Australian Qualifications Framework Council.</w:t>
      </w:r>
      <w:proofErr w:type="gramEnd"/>
      <w:r w:rsidRPr="00747491">
        <w:t xml:space="preserve"> (2013). </w:t>
      </w:r>
      <w:r w:rsidRPr="00747491">
        <w:rPr>
          <w:i/>
        </w:rPr>
        <w:t>Australian qualifications framework</w:t>
      </w:r>
      <w:r w:rsidRPr="00747491">
        <w:t xml:space="preserve"> </w:t>
      </w:r>
      <w:r w:rsidR="00E6544E">
        <w:t>(</w:t>
      </w:r>
      <w:r w:rsidRPr="00747491">
        <w:t xml:space="preserve">2nd </w:t>
      </w:r>
      <w:proofErr w:type="gramStart"/>
      <w:r w:rsidRPr="00747491">
        <w:t>ed</w:t>
      </w:r>
      <w:proofErr w:type="gramEnd"/>
      <w:r w:rsidR="00E6544E">
        <w:t xml:space="preserve">.). </w:t>
      </w:r>
      <w:r w:rsidRPr="00747491">
        <w:t>South Austra</w:t>
      </w:r>
      <w:r w:rsidRPr="00747491">
        <w:t>l</w:t>
      </w:r>
      <w:r w:rsidRPr="00747491">
        <w:t xml:space="preserve">ia: </w:t>
      </w:r>
      <w:r w:rsidR="00E6544E" w:rsidRPr="00747491">
        <w:t>Australian Qualifications Framework Council</w:t>
      </w:r>
      <w:r w:rsidRPr="00747491">
        <w:t>.</w:t>
      </w:r>
    </w:p>
    <w:bookmarkEnd w:id="14"/>
    <w:p w:rsidR="005E15C8" w:rsidRPr="00747491" w:rsidRDefault="005E15C8" w:rsidP="00747491">
      <w:pPr>
        <w:pStyle w:val="References"/>
      </w:pPr>
      <w:proofErr w:type="gramStart"/>
      <w:r w:rsidRPr="00747491">
        <w:t>Bingham, T., &amp; Connor, M. (2015).</w:t>
      </w:r>
      <w:proofErr w:type="gramEnd"/>
      <w:r w:rsidRPr="00747491">
        <w:t xml:space="preserve"> </w:t>
      </w:r>
      <w:r w:rsidRPr="00747491">
        <w:rPr>
          <w:i/>
        </w:rPr>
        <w:t xml:space="preserve">The new social learning: Connect, collaborate, </w:t>
      </w:r>
      <w:proofErr w:type="gramStart"/>
      <w:r w:rsidRPr="00747491">
        <w:rPr>
          <w:i/>
        </w:rPr>
        <w:t>work</w:t>
      </w:r>
      <w:proofErr w:type="gramEnd"/>
      <w:r w:rsidRPr="00747491">
        <w:t>. Alexandria, Virginia: ASTD DBA the Association for Talent Development (ATD).</w:t>
      </w:r>
    </w:p>
    <w:p w:rsidR="00E14A97" w:rsidRPr="00747491" w:rsidRDefault="005E15C8" w:rsidP="00747491">
      <w:pPr>
        <w:pStyle w:val="References"/>
      </w:pPr>
      <w:proofErr w:type="gramStart"/>
      <w:r w:rsidRPr="00747491">
        <w:t>Connell, J., &amp; Burgess, J. (2001).</w:t>
      </w:r>
      <w:proofErr w:type="gramEnd"/>
      <w:r w:rsidRPr="00747491">
        <w:t xml:space="preserve"> Skill, training and workforce restructuring in Australia: An overview. </w:t>
      </w:r>
      <w:r w:rsidRPr="00747491">
        <w:rPr>
          <w:i/>
        </w:rPr>
        <w:t>Intern</w:t>
      </w:r>
      <w:r w:rsidRPr="00747491">
        <w:rPr>
          <w:i/>
        </w:rPr>
        <w:t>a</w:t>
      </w:r>
      <w:r w:rsidRPr="00747491">
        <w:rPr>
          <w:i/>
        </w:rPr>
        <w:t>tional Journal of Employment Studies, 9</w:t>
      </w:r>
      <w:r w:rsidRPr="00747491">
        <w:t>(1), 1-24.</w:t>
      </w:r>
    </w:p>
    <w:p w:rsidR="005E15C8" w:rsidRPr="00747491" w:rsidRDefault="005E15C8" w:rsidP="00747491">
      <w:pPr>
        <w:pStyle w:val="References"/>
      </w:pPr>
      <w:r w:rsidRPr="00747491">
        <w:t>Creswell, J.</w:t>
      </w:r>
      <w:r w:rsidR="00E6544E">
        <w:t xml:space="preserve"> </w:t>
      </w:r>
      <w:r w:rsidRPr="00747491">
        <w:t xml:space="preserve">W. (2003). </w:t>
      </w:r>
      <w:r w:rsidRPr="00747491">
        <w:rPr>
          <w:i/>
        </w:rPr>
        <w:t xml:space="preserve">Research design: </w:t>
      </w:r>
      <w:proofErr w:type="gramStart"/>
      <w:r w:rsidRPr="00747491">
        <w:rPr>
          <w:i/>
        </w:rPr>
        <w:t>Qualitative, quantitative, and mixed methods approaches</w:t>
      </w:r>
      <w:proofErr w:type="gramEnd"/>
      <w:r w:rsidR="00E6544E">
        <w:rPr>
          <w:i/>
        </w:rPr>
        <w:t xml:space="preserve"> </w:t>
      </w:r>
      <w:r w:rsidR="00E6544E">
        <w:t xml:space="preserve">(2nd ed.). </w:t>
      </w:r>
      <w:r w:rsidRPr="00747491">
        <w:t xml:space="preserve">Thousand Oaks, </w:t>
      </w:r>
      <w:r w:rsidR="00553B74">
        <w:t>CA</w:t>
      </w:r>
      <w:r w:rsidRPr="00747491">
        <w:t>: Sage Publications.</w:t>
      </w:r>
      <w:bookmarkStart w:id="16" w:name="_ENREF_21"/>
    </w:p>
    <w:p w:rsidR="005E15C8" w:rsidRPr="00747491" w:rsidRDefault="005E15C8" w:rsidP="00747491">
      <w:pPr>
        <w:pStyle w:val="References"/>
      </w:pPr>
      <w:proofErr w:type="gramStart"/>
      <w:r w:rsidRPr="00747491">
        <w:t>Creswell, J.</w:t>
      </w:r>
      <w:r w:rsidR="00E6544E">
        <w:t xml:space="preserve"> </w:t>
      </w:r>
      <w:r w:rsidRPr="00747491">
        <w:t>W., &amp; Plano Clark, V.</w:t>
      </w:r>
      <w:r w:rsidR="00E6544E">
        <w:t xml:space="preserve"> </w:t>
      </w:r>
      <w:r w:rsidRPr="00747491">
        <w:t>L. (2011).</w:t>
      </w:r>
      <w:proofErr w:type="gramEnd"/>
      <w:r w:rsidRPr="00747491">
        <w:t xml:space="preserve"> </w:t>
      </w:r>
      <w:r w:rsidRPr="00747491">
        <w:rPr>
          <w:i/>
        </w:rPr>
        <w:t>Designing and conducting mixed methods research</w:t>
      </w:r>
      <w:r w:rsidRPr="00747491">
        <w:t>. Thousand Oaks, Cal</w:t>
      </w:r>
      <w:r w:rsidRPr="00747491">
        <w:t>i</w:t>
      </w:r>
      <w:r w:rsidRPr="00747491">
        <w:t>fornia: Sage</w:t>
      </w:r>
      <w:r w:rsidR="00E6544E">
        <w:t xml:space="preserve"> Publications</w:t>
      </w:r>
      <w:r w:rsidRPr="00747491">
        <w:t>.</w:t>
      </w:r>
    </w:p>
    <w:p w:rsidR="005E15C8" w:rsidRPr="00747491" w:rsidRDefault="005E15C8" w:rsidP="00747491">
      <w:pPr>
        <w:pStyle w:val="References"/>
      </w:pPr>
      <w:r w:rsidRPr="00747491">
        <w:t xml:space="preserve">Cross, J. (2012). </w:t>
      </w:r>
      <w:proofErr w:type="gramStart"/>
      <w:r w:rsidRPr="00747491">
        <w:t>Learning in the 21st-century workplace.</w:t>
      </w:r>
      <w:proofErr w:type="gramEnd"/>
      <w:r w:rsidRPr="00747491">
        <w:t xml:space="preserve"> </w:t>
      </w:r>
      <w:r w:rsidRPr="00747491">
        <w:rPr>
          <w:i/>
        </w:rPr>
        <w:t>Global Focus, 6</w:t>
      </w:r>
      <w:r w:rsidRPr="00747491">
        <w:t>(1), 3-4.</w:t>
      </w:r>
    </w:p>
    <w:p w:rsidR="005E15C8" w:rsidRPr="00747491" w:rsidRDefault="005E15C8" w:rsidP="00747491">
      <w:pPr>
        <w:pStyle w:val="References"/>
      </w:pPr>
      <w:proofErr w:type="gramStart"/>
      <w:r w:rsidRPr="00747491">
        <w:t xml:space="preserve">De </w:t>
      </w:r>
      <w:proofErr w:type="spellStart"/>
      <w:r w:rsidRPr="00747491">
        <w:t>Vriendt</w:t>
      </w:r>
      <w:proofErr w:type="spellEnd"/>
      <w:r w:rsidRPr="00747491">
        <w:t>, M. (2015).</w:t>
      </w:r>
      <w:proofErr w:type="gramEnd"/>
      <w:r w:rsidRPr="00747491">
        <w:t xml:space="preserve"> </w:t>
      </w:r>
      <w:proofErr w:type="gramStart"/>
      <w:r w:rsidRPr="00747491">
        <w:t>Implementing blended learning, in the form of a learning network, to enhance social learning.</w:t>
      </w:r>
      <w:proofErr w:type="gramEnd"/>
      <w:r w:rsidRPr="00747491">
        <w:t xml:space="preserve"> </w:t>
      </w:r>
      <w:r w:rsidR="00DC5283" w:rsidRPr="00747491">
        <w:rPr>
          <w:i/>
        </w:rPr>
        <w:t>The J</w:t>
      </w:r>
      <w:r w:rsidRPr="00747491">
        <w:rPr>
          <w:i/>
        </w:rPr>
        <w:t>ournal of Technology Enhance</w:t>
      </w:r>
      <w:r w:rsidR="00DC5283" w:rsidRPr="00747491">
        <w:rPr>
          <w:i/>
        </w:rPr>
        <w:t>d</w:t>
      </w:r>
      <w:r w:rsidRPr="00747491">
        <w:rPr>
          <w:i/>
        </w:rPr>
        <w:t xml:space="preserve"> Learning, Innovation and Change, 1</w:t>
      </w:r>
      <w:r w:rsidRPr="00747491">
        <w:t xml:space="preserve">(1), 1-12. </w:t>
      </w:r>
    </w:p>
    <w:p w:rsidR="005E15C8" w:rsidRPr="00747491" w:rsidRDefault="005E15C8" w:rsidP="00747491">
      <w:pPr>
        <w:pStyle w:val="References"/>
      </w:pPr>
      <w:r w:rsidRPr="00747491">
        <w:t>Dunn, W.</w:t>
      </w:r>
      <w:r w:rsidR="00E6544E">
        <w:t xml:space="preserve"> </w:t>
      </w:r>
      <w:r w:rsidRPr="00747491">
        <w:t xml:space="preserve">N. (2015). </w:t>
      </w:r>
      <w:proofErr w:type="gramStart"/>
      <w:r w:rsidRPr="00747491">
        <w:rPr>
          <w:i/>
        </w:rPr>
        <w:t>Public policy analysis</w:t>
      </w:r>
      <w:r w:rsidRPr="00747491">
        <w:t>.</w:t>
      </w:r>
      <w:proofErr w:type="gramEnd"/>
      <w:r w:rsidRPr="00747491">
        <w:t xml:space="preserve"> Oxford, </w:t>
      </w:r>
      <w:r w:rsidR="00E6544E">
        <w:t>UK</w:t>
      </w:r>
      <w:r w:rsidRPr="00747491">
        <w:t xml:space="preserve"> and New York: Routledge. </w:t>
      </w:r>
    </w:p>
    <w:p w:rsidR="0015066E" w:rsidRPr="0015066E" w:rsidRDefault="0015066E" w:rsidP="0015066E">
      <w:pPr>
        <w:pStyle w:val="References"/>
      </w:pPr>
      <w:proofErr w:type="gramStart"/>
      <w:r w:rsidRPr="002918E1">
        <w:t xml:space="preserve">Fergusson, L., Allred, T., Dux, T., &amp; </w:t>
      </w:r>
      <w:proofErr w:type="spellStart"/>
      <w:r w:rsidRPr="002918E1">
        <w:t>Muianga</w:t>
      </w:r>
      <w:proofErr w:type="spellEnd"/>
      <w:r w:rsidRPr="002918E1">
        <w:t>, H.M. (2018).</w:t>
      </w:r>
      <w:proofErr w:type="gramEnd"/>
      <w:r w:rsidRPr="002918E1">
        <w:t xml:space="preserve"> Work-based learning and research for mid-career professionals: Two projects examples from Australia. </w:t>
      </w:r>
      <w:r w:rsidRPr="002918E1">
        <w:rPr>
          <w:i/>
        </w:rPr>
        <w:t>Interdisciplinary Journal of e-Skills and Lifelong Learning</w:t>
      </w:r>
      <w:r w:rsidR="002918E1" w:rsidRPr="002918E1">
        <w:rPr>
          <w:i/>
        </w:rPr>
        <w:t>, 14</w:t>
      </w:r>
      <w:r w:rsidRPr="002918E1">
        <w:t>,</w:t>
      </w:r>
      <w:r w:rsidR="002918E1" w:rsidRPr="002918E1">
        <w:t xml:space="preserve"> 19-</w:t>
      </w:r>
      <w:r w:rsidR="00805052">
        <w:t>40</w:t>
      </w:r>
      <w:r w:rsidRPr="002918E1">
        <w:t>.</w:t>
      </w:r>
      <w:r w:rsidR="002918E1" w:rsidRPr="002918E1">
        <w:t xml:space="preserve"> </w:t>
      </w:r>
      <w:hyperlink r:id="rId15" w:history="1">
        <w:r w:rsidR="002918E1" w:rsidRPr="002918E1">
          <w:rPr>
            <w:rStyle w:val="Hyperlink"/>
            <w:lang w:val="de-DE"/>
          </w:rPr>
          <w:t>https://doi.org/10.28945/3959</w:t>
        </w:r>
      </w:hyperlink>
      <w:r w:rsidR="002918E1">
        <w:rPr>
          <w:lang w:val="de-DE"/>
        </w:rPr>
        <w:t xml:space="preserve"> </w:t>
      </w:r>
    </w:p>
    <w:p w:rsidR="005E15C8" w:rsidRPr="00747491" w:rsidRDefault="005E15C8" w:rsidP="00747491">
      <w:pPr>
        <w:pStyle w:val="References"/>
      </w:pPr>
      <w:proofErr w:type="gramStart"/>
      <w:r w:rsidRPr="00747491">
        <w:t>Hall, R., &amp; Lansbury, R.</w:t>
      </w:r>
      <w:r w:rsidR="00E6544E">
        <w:t xml:space="preserve"> </w:t>
      </w:r>
      <w:r w:rsidRPr="00747491">
        <w:t>D. (2006).</w:t>
      </w:r>
      <w:proofErr w:type="gramEnd"/>
      <w:r w:rsidRPr="00747491">
        <w:t xml:space="preserve"> Skills in Australia: Towards workforce development and sustainable skill ecosystems. </w:t>
      </w:r>
      <w:r w:rsidRPr="00747491">
        <w:rPr>
          <w:i/>
        </w:rPr>
        <w:t>Journal of Industrial Relations, 48</w:t>
      </w:r>
      <w:r w:rsidRPr="00747491">
        <w:t xml:space="preserve">(5), 574-592. </w:t>
      </w:r>
      <w:hyperlink r:id="rId16" w:history="1">
        <w:r w:rsidR="0033428C" w:rsidRPr="005A069F">
          <w:rPr>
            <w:rStyle w:val="Hyperlink"/>
          </w:rPr>
          <w:t>https://doi.org/10.1177/0022185606070106</w:t>
        </w:r>
      </w:hyperlink>
      <w:r w:rsidR="0033428C">
        <w:t xml:space="preserve"> </w:t>
      </w:r>
    </w:p>
    <w:p w:rsidR="005E15C8" w:rsidRPr="00747491" w:rsidRDefault="005E15C8" w:rsidP="00747491">
      <w:pPr>
        <w:pStyle w:val="References"/>
      </w:pPr>
      <w:proofErr w:type="gramStart"/>
      <w:r w:rsidRPr="00747491">
        <w:lastRenderedPageBreak/>
        <w:t xml:space="preserve">Hart, S., &amp; </w:t>
      </w:r>
      <w:proofErr w:type="spellStart"/>
      <w:r w:rsidRPr="00747491">
        <w:t>Akhurst</w:t>
      </w:r>
      <w:proofErr w:type="spellEnd"/>
      <w:r w:rsidRPr="00747491">
        <w:t>, J. (2017).</w:t>
      </w:r>
      <w:proofErr w:type="gramEnd"/>
      <w:r w:rsidRPr="00747491">
        <w:t xml:space="preserve"> Community-based learning and critical community psychology practice: Cond</w:t>
      </w:r>
      <w:r w:rsidRPr="00747491">
        <w:t>u</w:t>
      </w:r>
      <w:r w:rsidRPr="00747491">
        <w:t xml:space="preserve">cive and corrosive aspects. </w:t>
      </w:r>
      <w:r w:rsidRPr="00747491">
        <w:rPr>
          <w:i/>
        </w:rPr>
        <w:t>Journal of Community and Applied Social Psychology, 27</w:t>
      </w:r>
      <w:r w:rsidRPr="00747491">
        <w:t xml:space="preserve">, 3-15. </w:t>
      </w:r>
      <w:hyperlink r:id="rId17" w:history="1">
        <w:r w:rsidR="0033428C" w:rsidRPr="005A069F">
          <w:rPr>
            <w:rStyle w:val="Hyperlink"/>
          </w:rPr>
          <w:t>https://doi.org/10.1002/casp.2287</w:t>
        </w:r>
      </w:hyperlink>
      <w:r w:rsidR="0033428C">
        <w:t xml:space="preserve"> </w:t>
      </w:r>
    </w:p>
    <w:p w:rsidR="005E15C8" w:rsidRPr="00747491" w:rsidRDefault="00E6544E" w:rsidP="00747491">
      <w:pPr>
        <w:pStyle w:val="References"/>
      </w:pPr>
      <w:proofErr w:type="gramStart"/>
      <w:r>
        <w:t>Harvey, M. (2016).</w:t>
      </w:r>
      <w:proofErr w:type="gramEnd"/>
      <w:r>
        <w:t xml:space="preserve"> Editorial – Ref</w:t>
      </w:r>
      <w:r w:rsidR="005E15C8" w:rsidRPr="00747491">
        <w:t xml:space="preserve">lection for learning in higher education. </w:t>
      </w:r>
      <w:r w:rsidR="005E15C8" w:rsidRPr="00747491">
        <w:rPr>
          <w:i/>
        </w:rPr>
        <w:t>Journal of University Teaching and Lear</w:t>
      </w:r>
      <w:r w:rsidR="005E15C8" w:rsidRPr="00747491">
        <w:rPr>
          <w:i/>
        </w:rPr>
        <w:t>n</w:t>
      </w:r>
      <w:r w:rsidR="005E15C8" w:rsidRPr="00747491">
        <w:rPr>
          <w:i/>
        </w:rPr>
        <w:t>ing Practice, 13</w:t>
      </w:r>
      <w:r w:rsidR="005E15C8" w:rsidRPr="00747491">
        <w:t>(2), 1-4.</w:t>
      </w:r>
    </w:p>
    <w:p w:rsidR="00C8595E" w:rsidRPr="00747491" w:rsidRDefault="005E15C8" w:rsidP="00747491">
      <w:pPr>
        <w:pStyle w:val="References"/>
      </w:pPr>
      <w:proofErr w:type="gramStart"/>
      <w:r w:rsidRPr="00747491">
        <w:t xml:space="preserve">Hilden, S., &amp; </w:t>
      </w:r>
      <w:proofErr w:type="spellStart"/>
      <w:r w:rsidRPr="00747491">
        <w:t>Tikkamäki</w:t>
      </w:r>
      <w:proofErr w:type="spellEnd"/>
      <w:r w:rsidRPr="00747491">
        <w:t>, K. (2013).</w:t>
      </w:r>
      <w:proofErr w:type="gramEnd"/>
      <w:r w:rsidRPr="00747491">
        <w:t xml:space="preserve"> </w:t>
      </w:r>
      <w:proofErr w:type="gramStart"/>
      <w:r w:rsidRPr="00747491">
        <w:t>Reflective practice as a fuel for organizational learning.</w:t>
      </w:r>
      <w:proofErr w:type="gramEnd"/>
      <w:r w:rsidRPr="00747491">
        <w:t xml:space="preserve"> </w:t>
      </w:r>
      <w:r w:rsidRPr="00747491">
        <w:rPr>
          <w:i/>
        </w:rPr>
        <w:t>Administrative Scien</w:t>
      </w:r>
      <w:r w:rsidRPr="00747491">
        <w:rPr>
          <w:i/>
        </w:rPr>
        <w:t>c</w:t>
      </w:r>
      <w:r w:rsidRPr="00747491">
        <w:rPr>
          <w:i/>
        </w:rPr>
        <w:t>es, 3</w:t>
      </w:r>
      <w:r w:rsidRPr="00747491">
        <w:t xml:space="preserve">, 76-95. </w:t>
      </w:r>
      <w:hyperlink r:id="rId18" w:history="1">
        <w:r w:rsidR="0033428C" w:rsidRPr="005A069F">
          <w:rPr>
            <w:rStyle w:val="Hyperlink"/>
          </w:rPr>
          <w:t>https://doi.org/10.3390/admsci3030076</w:t>
        </w:r>
      </w:hyperlink>
      <w:r w:rsidR="0033428C">
        <w:t xml:space="preserve"> </w:t>
      </w:r>
    </w:p>
    <w:p w:rsidR="005E15C8" w:rsidRPr="00747491" w:rsidRDefault="005E15C8" w:rsidP="00747491">
      <w:pPr>
        <w:pStyle w:val="References"/>
      </w:pPr>
      <w:proofErr w:type="gramStart"/>
      <w:r w:rsidRPr="00747491">
        <w:t>Hobbs, V. (2007).</w:t>
      </w:r>
      <w:proofErr w:type="gramEnd"/>
      <w:r w:rsidRPr="00747491">
        <w:t xml:space="preserve"> Faking it or hating it: Can reflective practice be forced? </w:t>
      </w:r>
      <w:r w:rsidRPr="00747491">
        <w:rPr>
          <w:i/>
        </w:rPr>
        <w:t>Reflective Practice: International and Mu</w:t>
      </w:r>
      <w:r w:rsidRPr="00747491">
        <w:rPr>
          <w:i/>
        </w:rPr>
        <w:t>l</w:t>
      </w:r>
      <w:r w:rsidRPr="00747491">
        <w:rPr>
          <w:i/>
        </w:rPr>
        <w:t>tidisciplinary Perspectives, 8</w:t>
      </w:r>
      <w:r w:rsidRPr="00747491">
        <w:t>(3), 405-417.</w:t>
      </w:r>
      <w:r w:rsidR="00C8595E" w:rsidRPr="00747491">
        <w:t xml:space="preserve"> </w:t>
      </w:r>
      <w:hyperlink r:id="rId19" w:history="1">
        <w:r w:rsidR="0033428C" w:rsidRPr="005A069F">
          <w:rPr>
            <w:rStyle w:val="Hyperlink"/>
          </w:rPr>
          <w:t>https://doi.org/10.1080/14623940701425063</w:t>
        </w:r>
      </w:hyperlink>
      <w:r w:rsidR="0033428C">
        <w:t xml:space="preserve"> </w:t>
      </w:r>
    </w:p>
    <w:p w:rsidR="00553B74" w:rsidRDefault="005E15C8" w:rsidP="00747491">
      <w:pPr>
        <w:pStyle w:val="References"/>
      </w:pPr>
      <w:r w:rsidRPr="00747491">
        <w:t>Huang, H.</w:t>
      </w:r>
      <w:r w:rsidR="007061AA">
        <w:t xml:space="preserve"> </w:t>
      </w:r>
      <w:r w:rsidRPr="00747491">
        <w:t xml:space="preserve">B. (2010). What is good action research? </w:t>
      </w:r>
      <w:r w:rsidRPr="00747491">
        <w:rPr>
          <w:i/>
        </w:rPr>
        <w:t>Action Research, 8</w:t>
      </w:r>
      <w:r w:rsidR="007061AA">
        <w:t xml:space="preserve">(1), 93-109. </w:t>
      </w:r>
      <w:hyperlink r:id="rId20" w:history="1">
        <w:r w:rsidR="0033428C" w:rsidRPr="005A069F">
          <w:rPr>
            <w:rStyle w:val="Hyperlink"/>
          </w:rPr>
          <w:t>https://doi.org/10.1177/1476750310362435</w:t>
        </w:r>
      </w:hyperlink>
      <w:r w:rsidR="0033428C">
        <w:t xml:space="preserve"> </w:t>
      </w:r>
    </w:p>
    <w:p w:rsidR="005E15C8" w:rsidRPr="00747491" w:rsidRDefault="005E15C8" w:rsidP="00747491">
      <w:pPr>
        <w:pStyle w:val="References"/>
      </w:pPr>
      <w:r w:rsidRPr="00747491">
        <w:t xml:space="preserve">Jennings, C. (2012). The rise of workplace learning: Introduction. </w:t>
      </w:r>
      <w:r w:rsidRPr="00747491">
        <w:rPr>
          <w:i/>
        </w:rPr>
        <w:t>Global Focus, 6</w:t>
      </w:r>
      <w:r w:rsidRPr="00747491">
        <w:t xml:space="preserve">(1), 1-2. </w:t>
      </w:r>
    </w:p>
    <w:p w:rsidR="005E15C8" w:rsidRPr="00747491" w:rsidRDefault="005E15C8" w:rsidP="00747491">
      <w:pPr>
        <w:pStyle w:val="References"/>
      </w:pPr>
      <w:proofErr w:type="spellStart"/>
      <w:proofErr w:type="gramStart"/>
      <w:r w:rsidRPr="00747491">
        <w:t>Kaider</w:t>
      </w:r>
      <w:proofErr w:type="spellEnd"/>
      <w:r w:rsidRPr="00747491">
        <w:t xml:space="preserve">, F., &amp; </w:t>
      </w:r>
      <w:proofErr w:type="spellStart"/>
      <w:r w:rsidRPr="00747491">
        <w:t>Hains</w:t>
      </w:r>
      <w:proofErr w:type="spellEnd"/>
      <w:r w:rsidRPr="00747491">
        <w:t>-Wesson, R. (2016).</w:t>
      </w:r>
      <w:proofErr w:type="gramEnd"/>
      <w:r w:rsidRPr="00747491">
        <w:t xml:space="preserve"> </w:t>
      </w:r>
      <w:proofErr w:type="gramStart"/>
      <w:r w:rsidRPr="00747491">
        <w:rPr>
          <w:i/>
        </w:rPr>
        <w:t>Enhancing courses for employability</w:t>
      </w:r>
      <w:r w:rsidRPr="00747491">
        <w:t>.</w:t>
      </w:r>
      <w:proofErr w:type="gramEnd"/>
      <w:r w:rsidRPr="00747491">
        <w:t xml:space="preserve"> Springvale South, Victoria: Australian Collaborative Education Network (ACEN).</w:t>
      </w:r>
      <w:bookmarkEnd w:id="16"/>
    </w:p>
    <w:p w:rsidR="005E15C8" w:rsidRPr="00747491" w:rsidRDefault="005E15C8" w:rsidP="00747491">
      <w:pPr>
        <w:pStyle w:val="References"/>
      </w:pPr>
      <w:r w:rsidRPr="00747491">
        <w:t xml:space="preserve">Kolb, D.A. (1984). </w:t>
      </w:r>
      <w:r w:rsidRPr="00747491">
        <w:rPr>
          <w:i/>
        </w:rPr>
        <w:t>Experiential learning</w:t>
      </w:r>
      <w:r w:rsidR="005A47B1" w:rsidRPr="00747491">
        <w:rPr>
          <w:i/>
        </w:rPr>
        <w:t>: E</w:t>
      </w:r>
      <w:r w:rsidRPr="00747491">
        <w:rPr>
          <w:i/>
        </w:rPr>
        <w:t>xperience as a source of learning and development</w:t>
      </w:r>
      <w:r w:rsidRPr="00747491">
        <w:t>. New Jersey: Prentice Hall.</w:t>
      </w:r>
    </w:p>
    <w:p w:rsidR="00FF74FA" w:rsidRPr="00747491" w:rsidRDefault="005E15C8" w:rsidP="00747491">
      <w:pPr>
        <w:pStyle w:val="References"/>
      </w:pPr>
      <w:proofErr w:type="spellStart"/>
      <w:proofErr w:type="gramStart"/>
      <w:r w:rsidRPr="00747491">
        <w:t>Lepine</w:t>
      </w:r>
      <w:proofErr w:type="spellEnd"/>
      <w:r w:rsidRPr="00747491">
        <w:t>, J.</w:t>
      </w:r>
      <w:r w:rsidR="007061AA">
        <w:t xml:space="preserve"> </w:t>
      </w:r>
      <w:r w:rsidRPr="00747491">
        <w:t xml:space="preserve">A., </w:t>
      </w:r>
      <w:proofErr w:type="spellStart"/>
      <w:r w:rsidRPr="00747491">
        <w:t>Podsakoff</w:t>
      </w:r>
      <w:proofErr w:type="spellEnd"/>
      <w:r w:rsidRPr="00747491">
        <w:t>, N.</w:t>
      </w:r>
      <w:r w:rsidR="007061AA">
        <w:t xml:space="preserve"> </w:t>
      </w:r>
      <w:r w:rsidRPr="00747491">
        <w:t xml:space="preserve">P., &amp; </w:t>
      </w:r>
      <w:proofErr w:type="spellStart"/>
      <w:r w:rsidRPr="00747491">
        <w:t>Lepine</w:t>
      </w:r>
      <w:proofErr w:type="spellEnd"/>
      <w:r w:rsidRPr="00747491">
        <w:t>, M.</w:t>
      </w:r>
      <w:r w:rsidR="007061AA">
        <w:t xml:space="preserve"> </w:t>
      </w:r>
      <w:r w:rsidRPr="00747491">
        <w:t>A. (2005).</w:t>
      </w:r>
      <w:proofErr w:type="gramEnd"/>
      <w:r w:rsidRPr="00747491">
        <w:t xml:space="preserve"> A meta-analytic test of the challenge stressor–hindrance stressor framework: An explanation for inconsistent relationships among stressors and performance. </w:t>
      </w:r>
      <w:r w:rsidRPr="00747491">
        <w:rPr>
          <w:i/>
        </w:rPr>
        <w:t>Aca</w:t>
      </w:r>
      <w:r w:rsidRPr="00747491">
        <w:rPr>
          <w:i/>
        </w:rPr>
        <w:t>d</w:t>
      </w:r>
      <w:r w:rsidRPr="00747491">
        <w:rPr>
          <w:i/>
        </w:rPr>
        <w:t>emy of Management Journal, 48</w:t>
      </w:r>
      <w:r w:rsidRPr="00747491">
        <w:t>(5), 764-775.</w:t>
      </w:r>
      <w:r w:rsidR="00C8595E" w:rsidRPr="00747491">
        <w:t xml:space="preserve"> </w:t>
      </w:r>
      <w:hyperlink r:id="rId21" w:history="1">
        <w:r w:rsidR="0033428C" w:rsidRPr="005A069F">
          <w:rPr>
            <w:rStyle w:val="Hyperlink"/>
          </w:rPr>
          <w:t>https://doi.org/10.5465/AMJ.2005.18803921</w:t>
        </w:r>
      </w:hyperlink>
      <w:r w:rsidR="0033428C">
        <w:t xml:space="preserve"> </w:t>
      </w:r>
    </w:p>
    <w:p w:rsidR="005E15C8" w:rsidRPr="00747491" w:rsidRDefault="005E15C8" w:rsidP="00747491">
      <w:pPr>
        <w:pStyle w:val="References"/>
      </w:pPr>
      <w:proofErr w:type="gramStart"/>
      <w:r w:rsidRPr="00747491">
        <w:t>Lester, S., &amp; Costley, C. (2010).</w:t>
      </w:r>
      <w:proofErr w:type="gramEnd"/>
      <w:r w:rsidRPr="00747491">
        <w:t xml:space="preserve"> Work-based learning at higher education level: Value, practice and critique. </w:t>
      </w:r>
      <w:r w:rsidRPr="00747491">
        <w:rPr>
          <w:i/>
        </w:rPr>
        <w:t>Stu</w:t>
      </w:r>
      <w:r w:rsidRPr="00747491">
        <w:rPr>
          <w:i/>
        </w:rPr>
        <w:t>d</w:t>
      </w:r>
      <w:r w:rsidRPr="00747491">
        <w:rPr>
          <w:i/>
        </w:rPr>
        <w:t>ies in Higher Education, 35</w:t>
      </w:r>
      <w:r w:rsidRPr="00747491">
        <w:t>(5), 561-575.</w:t>
      </w:r>
      <w:r w:rsidR="00FF74FA" w:rsidRPr="00747491">
        <w:t xml:space="preserve"> </w:t>
      </w:r>
      <w:hyperlink r:id="rId22" w:history="1">
        <w:r w:rsidR="0033428C" w:rsidRPr="005A069F">
          <w:rPr>
            <w:rStyle w:val="Hyperlink"/>
          </w:rPr>
          <w:t>https://doi.org/10.1080/03075070903216635</w:t>
        </w:r>
      </w:hyperlink>
      <w:r w:rsidR="0033428C">
        <w:t xml:space="preserve"> </w:t>
      </w:r>
    </w:p>
    <w:p w:rsidR="005E15C8" w:rsidRPr="00747491" w:rsidRDefault="005E15C8" w:rsidP="00747491">
      <w:pPr>
        <w:pStyle w:val="References"/>
      </w:pPr>
      <w:proofErr w:type="spellStart"/>
      <w:r w:rsidRPr="00747491">
        <w:t>Lizano</w:t>
      </w:r>
      <w:proofErr w:type="spellEnd"/>
      <w:r w:rsidRPr="00747491">
        <w:t>, E.</w:t>
      </w:r>
      <w:r w:rsidR="007061AA">
        <w:t xml:space="preserve"> </w:t>
      </w:r>
      <w:r w:rsidRPr="00747491">
        <w:t xml:space="preserve">L., &amp; </w:t>
      </w:r>
      <w:proofErr w:type="spellStart"/>
      <w:proofErr w:type="gramStart"/>
      <w:r w:rsidRPr="00747491">
        <w:t>Mor</w:t>
      </w:r>
      <w:proofErr w:type="spellEnd"/>
      <w:proofErr w:type="gramEnd"/>
      <w:r w:rsidRPr="00747491">
        <w:t xml:space="preserve"> Barak, M.</w:t>
      </w:r>
      <w:r w:rsidR="007061AA">
        <w:t xml:space="preserve"> </w:t>
      </w:r>
      <w:r w:rsidRPr="00747491">
        <w:t xml:space="preserve">E. (2012). Workplace demands and resources as antecedents of job burnout among public child welfare workers: A longitudinal study. </w:t>
      </w:r>
      <w:r w:rsidRPr="00747491">
        <w:rPr>
          <w:i/>
        </w:rPr>
        <w:t>Children and Youth Services Review, 34</w:t>
      </w:r>
      <w:r w:rsidRPr="00747491">
        <w:t>(9), 1769-1776.</w:t>
      </w:r>
      <w:r w:rsidR="002201A6" w:rsidRPr="00747491">
        <w:t xml:space="preserve"> </w:t>
      </w:r>
      <w:hyperlink r:id="rId23" w:history="1">
        <w:r w:rsidR="0033428C" w:rsidRPr="005A069F">
          <w:rPr>
            <w:rStyle w:val="Hyperlink"/>
          </w:rPr>
          <w:t>https://doi.org/10.1016/j.childyouth.2012.02.006</w:t>
        </w:r>
      </w:hyperlink>
      <w:r w:rsidR="0033428C">
        <w:t xml:space="preserve"> </w:t>
      </w:r>
    </w:p>
    <w:p w:rsidR="005E15C8" w:rsidRPr="00747491" w:rsidRDefault="005E15C8" w:rsidP="00747491">
      <w:pPr>
        <w:pStyle w:val="References"/>
      </w:pPr>
      <w:proofErr w:type="spellStart"/>
      <w:proofErr w:type="gramStart"/>
      <w:r w:rsidRPr="00747491">
        <w:t>Manuti</w:t>
      </w:r>
      <w:proofErr w:type="spellEnd"/>
      <w:r w:rsidRPr="00747491">
        <w:t>, A.,</w:t>
      </w:r>
      <w:r w:rsidR="003653CE">
        <w:t xml:space="preserve"> </w:t>
      </w:r>
      <w:proofErr w:type="spellStart"/>
      <w:r w:rsidR="003653CE">
        <w:t>Pastore</w:t>
      </w:r>
      <w:proofErr w:type="spellEnd"/>
      <w:r w:rsidR="003653CE">
        <w:t xml:space="preserve">, S., </w:t>
      </w:r>
      <w:proofErr w:type="spellStart"/>
      <w:r w:rsidR="003653CE">
        <w:t>Scardigno</w:t>
      </w:r>
      <w:proofErr w:type="spellEnd"/>
      <w:r w:rsidR="003653CE">
        <w:t>, A.</w:t>
      </w:r>
      <w:r w:rsidR="007061AA">
        <w:t xml:space="preserve"> </w:t>
      </w:r>
      <w:r w:rsidR="003653CE">
        <w:t>F.,</w:t>
      </w:r>
      <w:r w:rsidRPr="00747491">
        <w:t xml:space="preserve"> </w:t>
      </w:r>
      <w:proofErr w:type="spellStart"/>
      <w:r w:rsidRPr="00747491">
        <w:t>Giancaspro</w:t>
      </w:r>
      <w:proofErr w:type="spellEnd"/>
      <w:r w:rsidRPr="00747491">
        <w:t>, M.</w:t>
      </w:r>
      <w:r w:rsidR="007061AA">
        <w:t xml:space="preserve"> </w:t>
      </w:r>
      <w:r w:rsidRPr="00747491">
        <w:t xml:space="preserve">L., &amp; </w:t>
      </w:r>
      <w:proofErr w:type="spellStart"/>
      <w:r w:rsidR="003653CE" w:rsidRPr="003653CE">
        <w:t>Morciano</w:t>
      </w:r>
      <w:proofErr w:type="spellEnd"/>
      <w:r w:rsidR="003653CE" w:rsidRPr="003653CE">
        <w:t xml:space="preserve">, </w:t>
      </w:r>
      <w:r w:rsidRPr="00747491">
        <w:t>D. (2015).</w:t>
      </w:r>
      <w:proofErr w:type="gramEnd"/>
      <w:r w:rsidRPr="00747491">
        <w:t xml:space="preserve"> Formal and informal lear</w:t>
      </w:r>
      <w:r w:rsidRPr="00747491">
        <w:t>n</w:t>
      </w:r>
      <w:r w:rsidRPr="00747491">
        <w:t xml:space="preserve">ing in the workplace: A research review. </w:t>
      </w:r>
      <w:r w:rsidRPr="00747491">
        <w:rPr>
          <w:i/>
        </w:rPr>
        <w:t>International Journal of Training and Development, 19</w:t>
      </w:r>
      <w:r w:rsidRPr="00747491">
        <w:t>(1), 1-17.</w:t>
      </w:r>
      <w:r w:rsidR="005533ED" w:rsidRPr="00747491">
        <w:t xml:space="preserve"> </w:t>
      </w:r>
      <w:hyperlink r:id="rId24" w:history="1">
        <w:r w:rsidR="0033428C" w:rsidRPr="005A069F">
          <w:rPr>
            <w:rStyle w:val="Hyperlink"/>
          </w:rPr>
          <w:t>https://doi.org/10.1111/ijtd.12044</w:t>
        </w:r>
      </w:hyperlink>
      <w:r w:rsidR="0033428C">
        <w:t xml:space="preserve"> </w:t>
      </w:r>
    </w:p>
    <w:p w:rsidR="005E15C8" w:rsidRPr="00747491" w:rsidRDefault="005E15C8" w:rsidP="00747491">
      <w:pPr>
        <w:pStyle w:val="References"/>
      </w:pPr>
      <w:proofErr w:type="gramStart"/>
      <w:r w:rsidRPr="00747491">
        <w:t>Mark, M.</w:t>
      </w:r>
      <w:r w:rsidR="007061AA">
        <w:t xml:space="preserve"> </w:t>
      </w:r>
      <w:r w:rsidRPr="00747491">
        <w:t xml:space="preserve">M., &amp; </w:t>
      </w:r>
      <w:proofErr w:type="spellStart"/>
      <w:r w:rsidRPr="00747491">
        <w:t>Shotland</w:t>
      </w:r>
      <w:proofErr w:type="spellEnd"/>
      <w:r w:rsidRPr="00747491">
        <w:t>, R.</w:t>
      </w:r>
      <w:r w:rsidR="007061AA">
        <w:t xml:space="preserve"> </w:t>
      </w:r>
      <w:r w:rsidRPr="00747491">
        <w:t>L. (eds.) (1987).</w:t>
      </w:r>
      <w:proofErr w:type="gramEnd"/>
      <w:r w:rsidRPr="00747491">
        <w:t xml:space="preserve"> </w:t>
      </w:r>
      <w:proofErr w:type="gramStart"/>
      <w:r w:rsidRPr="00747491">
        <w:rPr>
          <w:i/>
        </w:rPr>
        <w:t>Multiple methods in program evaluation</w:t>
      </w:r>
      <w:r w:rsidRPr="00747491">
        <w:t>.</w:t>
      </w:r>
      <w:proofErr w:type="gramEnd"/>
      <w:r w:rsidRPr="00747491">
        <w:t xml:space="preserve"> San Francisco, </w:t>
      </w:r>
      <w:r w:rsidR="007061AA">
        <w:t>CA</w:t>
      </w:r>
      <w:r w:rsidRPr="00747491">
        <w:t xml:space="preserve">: </w:t>
      </w:r>
      <w:proofErr w:type="spellStart"/>
      <w:r w:rsidRPr="00747491">
        <w:t>Jossey</w:t>
      </w:r>
      <w:proofErr w:type="spellEnd"/>
      <w:r w:rsidRPr="00747491">
        <w:t>-Bass.</w:t>
      </w:r>
    </w:p>
    <w:p w:rsidR="005E15C8" w:rsidRPr="00747491" w:rsidRDefault="005E15C8" w:rsidP="00747491">
      <w:pPr>
        <w:pStyle w:val="References"/>
      </w:pPr>
      <w:r w:rsidRPr="00747491">
        <w:t>McGrath, B.</w:t>
      </w:r>
      <w:r w:rsidR="007061AA">
        <w:t xml:space="preserve"> </w:t>
      </w:r>
      <w:r w:rsidRPr="00747491">
        <w:t xml:space="preserve">P. (2004). </w:t>
      </w:r>
      <w:proofErr w:type="gramStart"/>
      <w:r w:rsidRPr="00747491">
        <w:t>Integration of overseas-trained doctors into the Australian medical workforce.</w:t>
      </w:r>
      <w:proofErr w:type="gramEnd"/>
      <w:r w:rsidRPr="00747491">
        <w:t xml:space="preserve"> </w:t>
      </w:r>
      <w:r w:rsidRPr="00747491">
        <w:rPr>
          <w:i/>
        </w:rPr>
        <w:t>Medical Journal of Australia, 181</w:t>
      </w:r>
      <w:r w:rsidRPr="00747491">
        <w:t>(11/12), 640-642.</w:t>
      </w:r>
    </w:p>
    <w:p w:rsidR="005E15C8" w:rsidRPr="00747491" w:rsidRDefault="005E15C8" w:rsidP="00747491">
      <w:pPr>
        <w:pStyle w:val="References"/>
      </w:pPr>
      <w:proofErr w:type="gramStart"/>
      <w:r w:rsidRPr="00747491">
        <w:t>Minerals Council of Australia.</w:t>
      </w:r>
      <w:proofErr w:type="gramEnd"/>
      <w:r w:rsidRPr="00747491">
        <w:t xml:space="preserve"> (2014). </w:t>
      </w:r>
      <w:r w:rsidRPr="00FF7483">
        <w:rPr>
          <w:i/>
        </w:rPr>
        <w:t>Establishment of the Industry Skills Fund: Response to discussion paper</w:t>
      </w:r>
      <w:r w:rsidRPr="00747491">
        <w:t xml:space="preserve">. Forest, </w:t>
      </w:r>
      <w:r w:rsidR="007061AA">
        <w:t>ACT</w:t>
      </w:r>
      <w:r w:rsidRPr="00747491">
        <w:t xml:space="preserve">: </w:t>
      </w:r>
      <w:r w:rsidR="007061AA" w:rsidRPr="00747491">
        <w:t>Minerals Council of Australia</w:t>
      </w:r>
      <w:r w:rsidRPr="00747491">
        <w:t>.</w:t>
      </w:r>
    </w:p>
    <w:p w:rsidR="005E15C8" w:rsidRPr="00747491" w:rsidRDefault="005E15C8" w:rsidP="00747491">
      <w:pPr>
        <w:pStyle w:val="References"/>
      </w:pPr>
      <w:proofErr w:type="gramStart"/>
      <w:r w:rsidRPr="00747491">
        <w:t>O’Connor, A., &amp; Diggins, C. (2002).</w:t>
      </w:r>
      <w:proofErr w:type="gramEnd"/>
      <w:r w:rsidRPr="00747491">
        <w:t xml:space="preserve"> </w:t>
      </w:r>
      <w:r w:rsidRPr="00FF7483">
        <w:rPr>
          <w:i/>
        </w:rPr>
        <w:t>On reflection: Reflective practice for early childhood educators</w:t>
      </w:r>
      <w:r w:rsidRPr="00747491">
        <w:t xml:space="preserve">. Lower Hutt, </w:t>
      </w:r>
      <w:proofErr w:type="spellStart"/>
      <w:r w:rsidRPr="00747491">
        <w:t>Aote</w:t>
      </w:r>
      <w:r w:rsidRPr="00747491">
        <w:t>a</w:t>
      </w:r>
      <w:r w:rsidRPr="00747491">
        <w:t>roa</w:t>
      </w:r>
      <w:proofErr w:type="spellEnd"/>
      <w:r w:rsidR="007061AA">
        <w:t>,</w:t>
      </w:r>
      <w:r w:rsidRPr="00747491">
        <w:t xml:space="preserve"> New Zealand: Open Mind Publishing.</w:t>
      </w:r>
    </w:p>
    <w:p w:rsidR="000F399E" w:rsidRPr="00747491" w:rsidRDefault="005E15C8" w:rsidP="00747491">
      <w:pPr>
        <w:pStyle w:val="References"/>
      </w:pPr>
      <w:proofErr w:type="gramStart"/>
      <w:r w:rsidRPr="00747491">
        <w:t>O’Leary, Z., &amp; Hunt, J.S. (2016).</w:t>
      </w:r>
      <w:proofErr w:type="gramEnd"/>
      <w:r w:rsidRPr="00747491">
        <w:t xml:space="preserve"> </w:t>
      </w:r>
      <w:r w:rsidRPr="00FF7483">
        <w:rPr>
          <w:i/>
        </w:rPr>
        <w:t xml:space="preserve">Workplace research: Conducting small-scale research in </w:t>
      </w:r>
      <w:proofErr w:type="spellStart"/>
      <w:r w:rsidRPr="00FF7483">
        <w:rPr>
          <w:i/>
        </w:rPr>
        <w:t>organisations</w:t>
      </w:r>
      <w:proofErr w:type="spellEnd"/>
      <w:r w:rsidRPr="00747491">
        <w:t>. London: Sage.</w:t>
      </w:r>
    </w:p>
    <w:p w:rsidR="005E15C8" w:rsidRPr="00747491" w:rsidRDefault="005E15C8" w:rsidP="00747491">
      <w:pPr>
        <w:pStyle w:val="References"/>
      </w:pPr>
      <w:r w:rsidRPr="00747491">
        <w:t>Reece, H.</w:t>
      </w:r>
      <w:r w:rsidR="007061AA">
        <w:t xml:space="preserve"> </w:t>
      </w:r>
      <w:r w:rsidRPr="00747491">
        <w:t xml:space="preserve">W. (2011). </w:t>
      </w:r>
      <w:proofErr w:type="gramStart"/>
      <w:r w:rsidRPr="00747491">
        <w:t>The learning-by-doing principle.</w:t>
      </w:r>
      <w:proofErr w:type="gramEnd"/>
      <w:r w:rsidRPr="00747491">
        <w:t xml:space="preserve"> </w:t>
      </w:r>
      <w:r w:rsidRPr="00FF7483">
        <w:rPr>
          <w:i/>
        </w:rPr>
        <w:t>Behavioral Development Bulletin, 11</w:t>
      </w:r>
      <w:r w:rsidRPr="00747491">
        <w:t>, 1-19.</w:t>
      </w:r>
      <w:r w:rsidR="000F399E" w:rsidRPr="00747491">
        <w:t xml:space="preserve"> </w:t>
      </w:r>
      <w:r w:rsidR="00553B74" w:rsidRPr="00553B74">
        <w:t>https://doi.org/10.1037/h0100597</w:t>
      </w:r>
    </w:p>
    <w:p w:rsidR="00406A34" w:rsidRPr="00747491" w:rsidRDefault="005E15C8" w:rsidP="00747491">
      <w:pPr>
        <w:pStyle w:val="References"/>
      </w:pPr>
      <w:r w:rsidRPr="00747491">
        <w:t xml:space="preserve">Reece, I., &amp; Walker, S. (2016). </w:t>
      </w:r>
      <w:r w:rsidRPr="00FF7483">
        <w:rPr>
          <w:i/>
        </w:rPr>
        <w:t>Teaching, training and learning: A practical guide.</w:t>
      </w:r>
      <w:r w:rsidRPr="00747491">
        <w:t xml:space="preserve"> Tyne and Wear, </w:t>
      </w:r>
      <w:r w:rsidR="007061AA">
        <w:t>UK</w:t>
      </w:r>
      <w:r w:rsidRPr="00747491">
        <w:t>: Business Ed</w:t>
      </w:r>
      <w:r w:rsidRPr="00747491">
        <w:t>u</w:t>
      </w:r>
      <w:r w:rsidRPr="00747491">
        <w:t>cation Publishers.</w:t>
      </w:r>
    </w:p>
    <w:p w:rsidR="005E15C8" w:rsidRPr="00747491" w:rsidRDefault="005E15C8" w:rsidP="00747491">
      <w:pPr>
        <w:pStyle w:val="References"/>
      </w:pPr>
      <w:proofErr w:type="gramStart"/>
      <w:r w:rsidRPr="00747491">
        <w:t>Ryan, M. (2011).</w:t>
      </w:r>
      <w:proofErr w:type="gramEnd"/>
      <w:r w:rsidRPr="00747491">
        <w:t xml:space="preserve"> </w:t>
      </w:r>
      <w:proofErr w:type="gramStart"/>
      <w:r w:rsidRPr="00747491">
        <w:t>Improving reflective writing in higher education: A social semiotic perspective.</w:t>
      </w:r>
      <w:proofErr w:type="gramEnd"/>
      <w:r w:rsidRPr="00747491">
        <w:t xml:space="preserve"> </w:t>
      </w:r>
      <w:proofErr w:type="gramStart"/>
      <w:r w:rsidRPr="00FF7483">
        <w:rPr>
          <w:i/>
        </w:rPr>
        <w:t>Teaching in Higher Education, 16</w:t>
      </w:r>
      <w:r w:rsidRPr="00747491">
        <w:t>(1), 99-111.</w:t>
      </w:r>
      <w:proofErr w:type="gramEnd"/>
      <w:r w:rsidR="00355C40" w:rsidRPr="00747491">
        <w:t xml:space="preserve"> </w:t>
      </w:r>
      <w:hyperlink r:id="rId25" w:history="1">
        <w:r w:rsidR="0033428C" w:rsidRPr="005A069F">
          <w:rPr>
            <w:rStyle w:val="Hyperlink"/>
          </w:rPr>
          <w:t>https://doi.org/10.1080/13562517.2010.507311</w:t>
        </w:r>
      </w:hyperlink>
      <w:r w:rsidR="0033428C">
        <w:t xml:space="preserve"> </w:t>
      </w:r>
    </w:p>
    <w:p w:rsidR="005E15C8" w:rsidRPr="00747491" w:rsidRDefault="005E15C8" w:rsidP="00747491">
      <w:pPr>
        <w:pStyle w:val="References"/>
      </w:pPr>
      <w:proofErr w:type="gramStart"/>
      <w:r w:rsidRPr="00747491">
        <w:t>Sayers, J.</w:t>
      </w:r>
      <w:r w:rsidR="007061AA">
        <w:t xml:space="preserve"> </w:t>
      </w:r>
      <w:r w:rsidRPr="00747491">
        <w:t xml:space="preserve">M., </w:t>
      </w:r>
      <w:proofErr w:type="spellStart"/>
      <w:r w:rsidRPr="00747491">
        <w:t>DiGiacomo</w:t>
      </w:r>
      <w:proofErr w:type="spellEnd"/>
      <w:r w:rsidRPr="00747491">
        <w:t>, M., &amp; Davidson, P.</w:t>
      </w:r>
      <w:r w:rsidR="007061AA">
        <w:t xml:space="preserve"> </w:t>
      </w:r>
      <w:r w:rsidRPr="00747491">
        <w:t>M. (2011).</w:t>
      </w:r>
      <w:proofErr w:type="gramEnd"/>
      <w:r w:rsidRPr="00747491">
        <w:t xml:space="preserve"> The nurse educator role in the acute care setting in Australia: Important but poorly described. </w:t>
      </w:r>
      <w:r w:rsidRPr="00FF7483">
        <w:rPr>
          <w:i/>
        </w:rPr>
        <w:t>Australian Journal of Advanced Nursing, 28</w:t>
      </w:r>
      <w:r w:rsidRPr="00747491">
        <w:t>(4), 44-52.</w:t>
      </w:r>
    </w:p>
    <w:p w:rsidR="005E15C8" w:rsidRPr="00747491" w:rsidRDefault="005E15C8" w:rsidP="00747491">
      <w:pPr>
        <w:pStyle w:val="References"/>
      </w:pPr>
      <w:r w:rsidRPr="00747491">
        <w:t>Sherwood, G.</w:t>
      </w:r>
      <w:r w:rsidR="007061AA">
        <w:t xml:space="preserve"> </w:t>
      </w:r>
      <w:r w:rsidRPr="00747491">
        <w:t xml:space="preserve">D., &amp; Horton-Deutsch, S. (2011). </w:t>
      </w:r>
      <w:r w:rsidRPr="00FF7483">
        <w:rPr>
          <w:i/>
        </w:rPr>
        <w:t xml:space="preserve">Reflective </w:t>
      </w:r>
      <w:proofErr w:type="spellStart"/>
      <w:r w:rsidRPr="00FF7483">
        <w:rPr>
          <w:i/>
        </w:rPr>
        <w:t>organisations</w:t>
      </w:r>
      <w:proofErr w:type="spellEnd"/>
      <w:r w:rsidRPr="00FF7483">
        <w:rPr>
          <w:i/>
        </w:rPr>
        <w:t>: On the front lines of QSEN and reflective pra</w:t>
      </w:r>
      <w:r w:rsidRPr="00FF7483">
        <w:rPr>
          <w:i/>
        </w:rPr>
        <w:t>c</w:t>
      </w:r>
      <w:r w:rsidRPr="00FF7483">
        <w:rPr>
          <w:i/>
        </w:rPr>
        <w:t>tice implementation</w:t>
      </w:r>
      <w:r w:rsidRPr="00747491">
        <w:t xml:space="preserve">. Indianapolis, </w:t>
      </w:r>
      <w:r w:rsidR="007061AA">
        <w:t>IN</w:t>
      </w:r>
      <w:r w:rsidRPr="00747491">
        <w:t>: Sigma Theta Tau International.</w:t>
      </w:r>
    </w:p>
    <w:p w:rsidR="005E15C8" w:rsidRPr="00747491" w:rsidRDefault="005E15C8" w:rsidP="00747491">
      <w:pPr>
        <w:pStyle w:val="References"/>
      </w:pPr>
      <w:proofErr w:type="spellStart"/>
      <w:proofErr w:type="gramStart"/>
      <w:r w:rsidRPr="00747491">
        <w:lastRenderedPageBreak/>
        <w:t>Silberglitt</w:t>
      </w:r>
      <w:proofErr w:type="spellEnd"/>
      <w:r w:rsidRPr="00747491">
        <w:t>, R., Anton, P.</w:t>
      </w:r>
      <w:r w:rsidR="007061AA">
        <w:t xml:space="preserve"> </w:t>
      </w:r>
      <w:r w:rsidRPr="00747491">
        <w:t>S., Howell, D.</w:t>
      </w:r>
      <w:r w:rsidR="007061AA">
        <w:t xml:space="preserve"> </w:t>
      </w:r>
      <w:r w:rsidRPr="00747491">
        <w:t>R., &amp; Wong, A. (2006).</w:t>
      </w:r>
      <w:proofErr w:type="gramEnd"/>
      <w:r w:rsidRPr="00747491">
        <w:t xml:space="preserve"> </w:t>
      </w:r>
      <w:r w:rsidRPr="00FF7483">
        <w:rPr>
          <w:i/>
        </w:rPr>
        <w:t>The global technology revolution 2020, executive su</w:t>
      </w:r>
      <w:r w:rsidRPr="00FF7483">
        <w:rPr>
          <w:i/>
        </w:rPr>
        <w:t>m</w:t>
      </w:r>
      <w:r w:rsidRPr="00FF7483">
        <w:rPr>
          <w:i/>
        </w:rPr>
        <w:t>mary: Bio/</w:t>
      </w:r>
      <w:proofErr w:type="spellStart"/>
      <w:r w:rsidRPr="00FF7483">
        <w:rPr>
          <w:i/>
        </w:rPr>
        <w:t>nano</w:t>
      </w:r>
      <w:proofErr w:type="spellEnd"/>
      <w:r w:rsidRPr="00FF7483">
        <w:rPr>
          <w:i/>
        </w:rPr>
        <w:t>/materials/information trends, drivers, barriers, and social implications</w:t>
      </w:r>
      <w:r w:rsidRPr="00747491">
        <w:t xml:space="preserve">. Santa Monica, </w:t>
      </w:r>
      <w:r w:rsidR="007061AA">
        <w:t>CA</w:t>
      </w:r>
      <w:r w:rsidRPr="00747491">
        <w:t>: RAND Corporation.</w:t>
      </w:r>
    </w:p>
    <w:p w:rsidR="005E15C8" w:rsidRPr="00747491" w:rsidRDefault="005E15C8" w:rsidP="00747491">
      <w:pPr>
        <w:pStyle w:val="References"/>
      </w:pPr>
      <w:proofErr w:type="spellStart"/>
      <w:proofErr w:type="gramStart"/>
      <w:r w:rsidRPr="00747491">
        <w:t>Teddlie</w:t>
      </w:r>
      <w:proofErr w:type="spellEnd"/>
      <w:r w:rsidRPr="00747491">
        <w:t xml:space="preserve">, C., &amp; </w:t>
      </w:r>
      <w:proofErr w:type="spellStart"/>
      <w:r w:rsidRPr="00747491">
        <w:t>Tashakkori</w:t>
      </w:r>
      <w:proofErr w:type="spellEnd"/>
      <w:r w:rsidRPr="00747491">
        <w:t>, A. (2009).</w:t>
      </w:r>
      <w:proofErr w:type="gramEnd"/>
      <w:r w:rsidRPr="00747491">
        <w:t xml:space="preserve"> </w:t>
      </w:r>
      <w:r w:rsidRPr="00FF7483">
        <w:rPr>
          <w:i/>
        </w:rPr>
        <w:t>Foundations of mixed methods research: Integrating quantitative and qualitative a</w:t>
      </w:r>
      <w:r w:rsidRPr="00FF7483">
        <w:rPr>
          <w:i/>
        </w:rPr>
        <w:t>p</w:t>
      </w:r>
      <w:r w:rsidRPr="00FF7483">
        <w:rPr>
          <w:i/>
        </w:rPr>
        <w:t xml:space="preserve">proaches to the social and </w:t>
      </w:r>
      <w:proofErr w:type="spellStart"/>
      <w:r w:rsidRPr="00FF7483">
        <w:rPr>
          <w:i/>
        </w:rPr>
        <w:t>behavioural</w:t>
      </w:r>
      <w:proofErr w:type="spellEnd"/>
      <w:r w:rsidRPr="00FF7483">
        <w:rPr>
          <w:i/>
        </w:rPr>
        <w:t xml:space="preserve"> science</w:t>
      </w:r>
      <w:r w:rsidRPr="00747491">
        <w:t xml:space="preserve">. Thousand Oaks, </w:t>
      </w:r>
      <w:r w:rsidR="007061AA">
        <w:t>CA</w:t>
      </w:r>
      <w:r w:rsidRPr="00747491">
        <w:t>: Sage.</w:t>
      </w:r>
    </w:p>
    <w:p w:rsidR="005E15C8" w:rsidRPr="00747491" w:rsidRDefault="005E15C8" w:rsidP="00747491">
      <w:pPr>
        <w:pStyle w:val="References"/>
      </w:pPr>
      <w:proofErr w:type="spellStart"/>
      <w:r w:rsidRPr="00747491">
        <w:t>Thistlethwaite</w:t>
      </w:r>
      <w:proofErr w:type="spellEnd"/>
      <w:r w:rsidRPr="00747491">
        <w:t>, J.</w:t>
      </w:r>
      <w:r w:rsidR="007061AA">
        <w:t xml:space="preserve"> </w:t>
      </w:r>
      <w:r w:rsidRPr="00747491">
        <w:t xml:space="preserve">E. (2013). Practice-based learning across and between the health professions: A conceptual exploration of definitions and diversity and their impact on </w:t>
      </w:r>
      <w:proofErr w:type="spellStart"/>
      <w:r w:rsidRPr="00747491">
        <w:t>interprofessional</w:t>
      </w:r>
      <w:proofErr w:type="spellEnd"/>
      <w:r w:rsidRPr="00747491">
        <w:t xml:space="preserve"> education. </w:t>
      </w:r>
      <w:proofErr w:type="gramStart"/>
      <w:r w:rsidRPr="00FF7483">
        <w:rPr>
          <w:i/>
        </w:rPr>
        <w:t>International Journal of Practice-based Learning in Health and Social Care, 1</w:t>
      </w:r>
      <w:r w:rsidRPr="00747491">
        <w:t>(1), 15-28.</w:t>
      </w:r>
      <w:proofErr w:type="gramEnd"/>
      <w:r w:rsidR="00553B74">
        <w:t xml:space="preserve"> </w:t>
      </w:r>
      <w:hyperlink r:id="rId26" w:history="1">
        <w:r w:rsidR="0033428C" w:rsidRPr="005A069F">
          <w:rPr>
            <w:rStyle w:val="Hyperlink"/>
          </w:rPr>
          <w:t>https://doi.org/10.11120/pblh.2013.00003</w:t>
        </w:r>
      </w:hyperlink>
      <w:r w:rsidR="0033428C">
        <w:t xml:space="preserve"> </w:t>
      </w:r>
    </w:p>
    <w:p w:rsidR="005E15C8" w:rsidRPr="00747491" w:rsidRDefault="005E15C8" w:rsidP="00747491">
      <w:pPr>
        <w:pStyle w:val="References"/>
      </w:pPr>
      <w:r w:rsidRPr="00747491">
        <w:t xml:space="preserve">Treadwell, P. (2010). </w:t>
      </w:r>
      <w:proofErr w:type="gramStart"/>
      <w:r w:rsidRPr="00747491">
        <w:t>Doing work</w:t>
      </w:r>
      <w:r w:rsidR="00553B74">
        <w:rPr>
          <w:rFonts w:ascii="Times New Roman" w:hAnsi="Times New Roman"/>
        </w:rPr>
        <w:t>-</w:t>
      </w:r>
      <w:r w:rsidRPr="00747491">
        <w:t>based research: Approaches to enquiry for insider</w:t>
      </w:r>
      <w:r w:rsidR="00553B74">
        <w:rPr>
          <w:rFonts w:ascii="Times New Roman" w:hAnsi="Times New Roman"/>
        </w:rPr>
        <w:t>-</w:t>
      </w:r>
      <w:r w:rsidRPr="00747491">
        <w:t>researchers</w:t>
      </w:r>
      <w:r w:rsidR="00F42B00" w:rsidRPr="00747491">
        <w:t>.</w:t>
      </w:r>
      <w:proofErr w:type="gramEnd"/>
      <w:r w:rsidRPr="00747491">
        <w:t xml:space="preserve"> </w:t>
      </w:r>
      <w:r w:rsidRPr="00FF7483">
        <w:rPr>
          <w:i/>
        </w:rPr>
        <w:t>Higher Educ</w:t>
      </w:r>
      <w:r w:rsidRPr="00FF7483">
        <w:rPr>
          <w:i/>
        </w:rPr>
        <w:t>a</w:t>
      </w:r>
      <w:r w:rsidRPr="00FF7483">
        <w:rPr>
          <w:i/>
        </w:rPr>
        <w:t>tion, Skills and Work-Based Learning, 1</w:t>
      </w:r>
      <w:r w:rsidRPr="00747491">
        <w:t>(1), 78-80.</w:t>
      </w:r>
      <w:r w:rsidR="00EC3F17" w:rsidRPr="00747491">
        <w:t xml:space="preserve"> </w:t>
      </w:r>
      <w:hyperlink r:id="rId27" w:history="1">
        <w:r w:rsidR="0033428C" w:rsidRPr="005A069F">
          <w:rPr>
            <w:rStyle w:val="Hyperlink"/>
          </w:rPr>
          <w:t>https://doi.org/10.4135/9781446287880</w:t>
        </w:r>
      </w:hyperlink>
      <w:r w:rsidR="0033428C">
        <w:t xml:space="preserve"> </w:t>
      </w:r>
    </w:p>
    <w:p w:rsidR="005E15C8" w:rsidRPr="00747491" w:rsidRDefault="005E15C8" w:rsidP="00747491">
      <w:pPr>
        <w:pStyle w:val="References"/>
      </w:pPr>
      <w:proofErr w:type="spellStart"/>
      <w:r w:rsidRPr="00747491">
        <w:t>Tynjälä</w:t>
      </w:r>
      <w:proofErr w:type="spellEnd"/>
      <w:r w:rsidRPr="00747491">
        <w:t xml:space="preserve">, P. (2008). </w:t>
      </w:r>
      <w:proofErr w:type="gramStart"/>
      <w:r w:rsidRPr="00747491">
        <w:t>Perspectives into learning at the workplace.</w:t>
      </w:r>
      <w:proofErr w:type="gramEnd"/>
      <w:r w:rsidRPr="00747491">
        <w:t xml:space="preserve"> </w:t>
      </w:r>
      <w:r w:rsidRPr="00FF7483">
        <w:rPr>
          <w:i/>
        </w:rPr>
        <w:t>Educational Research Review, 3,</w:t>
      </w:r>
      <w:r w:rsidRPr="00747491">
        <w:t xml:space="preserve"> 130-154.</w:t>
      </w:r>
      <w:r w:rsidR="00553B74">
        <w:t xml:space="preserve"> </w:t>
      </w:r>
      <w:hyperlink r:id="rId28" w:history="1">
        <w:r w:rsidR="0033428C" w:rsidRPr="005A069F">
          <w:rPr>
            <w:rStyle w:val="Hyperlink"/>
          </w:rPr>
          <w:t>https://doi.org/10.1016/j.edurev.2007.12.001</w:t>
        </w:r>
      </w:hyperlink>
      <w:r w:rsidR="0033428C">
        <w:t xml:space="preserve"> </w:t>
      </w:r>
    </w:p>
    <w:p w:rsidR="005E15C8" w:rsidRPr="00747491" w:rsidRDefault="005E15C8" w:rsidP="00747491">
      <w:pPr>
        <w:pStyle w:val="References"/>
      </w:pPr>
      <w:proofErr w:type="gramStart"/>
      <w:r w:rsidRPr="00747491">
        <w:t>van</w:t>
      </w:r>
      <w:proofErr w:type="gramEnd"/>
      <w:r w:rsidRPr="00747491">
        <w:t xml:space="preserve"> der </w:t>
      </w:r>
      <w:proofErr w:type="spellStart"/>
      <w:r w:rsidRPr="00747491">
        <w:t>Laan</w:t>
      </w:r>
      <w:proofErr w:type="spellEnd"/>
      <w:r w:rsidRPr="00747491">
        <w:t xml:space="preserve">, L., &amp; </w:t>
      </w:r>
      <w:proofErr w:type="spellStart"/>
      <w:r w:rsidRPr="00747491">
        <w:t>Neary</w:t>
      </w:r>
      <w:proofErr w:type="spellEnd"/>
      <w:r w:rsidRPr="00747491">
        <w:t>, L. (2016). Equity and access as keys for opening open learning: The case for virtua</w:t>
      </w:r>
      <w:r w:rsidRPr="00747491">
        <w:t>l</w:t>
      </w:r>
      <w:r w:rsidRPr="00747491">
        <w:t xml:space="preserve">ly facilitated work-based learning. </w:t>
      </w:r>
      <w:proofErr w:type="gramStart"/>
      <w:r w:rsidRPr="00747491">
        <w:t xml:space="preserve">In S. </w:t>
      </w:r>
      <w:proofErr w:type="spellStart"/>
      <w:r w:rsidRPr="00747491">
        <w:t>Reush</w:t>
      </w:r>
      <w:r w:rsidR="007061AA">
        <w:t>le</w:t>
      </w:r>
      <w:proofErr w:type="spellEnd"/>
      <w:r w:rsidR="007061AA">
        <w:t xml:space="preserve">, A. Antonio, &amp; M. </w:t>
      </w:r>
      <w:proofErr w:type="spellStart"/>
      <w:r w:rsidR="007061AA">
        <w:t>Keppell</w:t>
      </w:r>
      <w:proofErr w:type="spellEnd"/>
      <w:r w:rsidR="007061AA">
        <w:t xml:space="preserve"> (E</w:t>
      </w:r>
      <w:r w:rsidRPr="00747491">
        <w:t xml:space="preserve">ds.), </w:t>
      </w:r>
      <w:r w:rsidRPr="00FF7483">
        <w:rPr>
          <w:i/>
        </w:rPr>
        <w:t xml:space="preserve">Open </w:t>
      </w:r>
      <w:r w:rsidR="007061AA" w:rsidRPr="00FF7483">
        <w:rPr>
          <w:i/>
        </w:rPr>
        <w:t>learning and formal credentialing in higher education</w:t>
      </w:r>
      <w:r w:rsidRPr="00FF7483">
        <w:rPr>
          <w:i/>
        </w:rPr>
        <w:t xml:space="preserve">: Curriculum </w:t>
      </w:r>
      <w:r w:rsidR="007061AA" w:rsidRPr="00FF7483">
        <w:rPr>
          <w:i/>
        </w:rPr>
        <w:t>models and institutional policies</w:t>
      </w:r>
      <w:r w:rsidR="007061AA" w:rsidRPr="00747491">
        <w:t xml:space="preserve"> </w:t>
      </w:r>
      <w:r w:rsidR="007061AA">
        <w:t>(</w:t>
      </w:r>
      <w:r w:rsidRPr="00747491">
        <w:t>pp. 263-290</w:t>
      </w:r>
      <w:r w:rsidR="007061AA">
        <w:t>).</w:t>
      </w:r>
      <w:proofErr w:type="gramEnd"/>
      <w:r w:rsidRPr="00747491">
        <w:t xml:space="preserve"> </w:t>
      </w:r>
      <w:r w:rsidR="002A6145">
        <w:t xml:space="preserve">Hershey, PA: </w:t>
      </w:r>
      <w:r w:rsidRPr="00747491">
        <w:t>IGI Glo</w:t>
      </w:r>
      <w:r w:rsidR="002A6145">
        <w:t>bal</w:t>
      </w:r>
      <w:r w:rsidRPr="00747491">
        <w:t>.</w:t>
      </w:r>
      <w:r w:rsidR="00553B74">
        <w:t xml:space="preserve"> </w:t>
      </w:r>
      <w:hyperlink r:id="rId29" w:history="1">
        <w:r w:rsidR="0033428C" w:rsidRPr="005A069F">
          <w:rPr>
            <w:rStyle w:val="Hyperlink"/>
          </w:rPr>
          <w:t>https://doi.org/10.4018/978-1-4666-8856-8.ch014</w:t>
        </w:r>
      </w:hyperlink>
      <w:r w:rsidR="0033428C">
        <w:t xml:space="preserve"> </w:t>
      </w:r>
    </w:p>
    <w:p w:rsidR="005E15C8" w:rsidRPr="00747491" w:rsidRDefault="005E15C8" w:rsidP="00747491">
      <w:pPr>
        <w:pStyle w:val="References"/>
      </w:pPr>
      <w:proofErr w:type="gramStart"/>
      <w:r w:rsidRPr="00747491">
        <w:t>Vaughan, K., O’Neil, P., &amp; Cameron, M. (2011).</w:t>
      </w:r>
      <w:proofErr w:type="gramEnd"/>
      <w:r w:rsidRPr="00747491">
        <w:t xml:space="preserve"> </w:t>
      </w:r>
      <w:r w:rsidRPr="00FF7483">
        <w:rPr>
          <w:i/>
        </w:rPr>
        <w:t>Successful workplace learning: How learning happens at work</w:t>
      </w:r>
      <w:r w:rsidRPr="00747491">
        <w:t>. New Zealand: Industry Training Federation.</w:t>
      </w:r>
    </w:p>
    <w:p w:rsidR="005E15C8" w:rsidRPr="00747491" w:rsidRDefault="005E15C8" w:rsidP="00747491">
      <w:pPr>
        <w:pStyle w:val="References"/>
      </w:pPr>
      <w:r w:rsidRPr="00747491">
        <w:t>Wise, E.</w:t>
      </w:r>
      <w:r w:rsidR="002A6145">
        <w:t xml:space="preserve"> </w:t>
      </w:r>
      <w:r w:rsidRPr="00747491">
        <w:t>H., Sturm, C.</w:t>
      </w:r>
      <w:r w:rsidR="002A6145">
        <w:t xml:space="preserve"> </w:t>
      </w:r>
      <w:proofErr w:type="gramStart"/>
      <w:r w:rsidRPr="00747491">
        <w:t>A, Nutt, R.</w:t>
      </w:r>
      <w:r w:rsidR="002A6145">
        <w:t xml:space="preserve"> </w:t>
      </w:r>
      <w:r w:rsidRPr="00747491">
        <w:t xml:space="preserve">L., </w:t>
      </w:r>
      <w:proofErr w:type="spellStart"/>
      <w:r w:rsidRPr="00747491">
        <w:t>Rodolfa</w:t>
      </w:r>
      <w:proofErr w:type="spellEnd"/>
      <w:r w:rsidRPr="00747491">
        <w:t>, E., Schaffer, J.</w:t>
      </w:r>
      <w:r w:rsidR="002A6145">
        <w:t xml:space="preserve"> </w:t>
      </w:r>
      <w:r w:rsidRPr="00747491">
        <w:t>B., &amp; Webb, C. (2010).</w:t>
      </w:r>
      <w:proofErr w:type="gramEnd"/>
      <w:r w:rsidRPr="00747491">
        <w:t xml:space="preserve"> Life-long learning for psychologists: Current status and a vision for the future. </w:t>
      </w:r>
      <w:r w:rsidRPr="00FF7483">
        <w:rPr>
          <w:i/>
        </w:rPr>
        <w:t>Professional Psychology: Research and Practice, 41</w:t>
      </w:r>
      <w:r w:rsidRPr="00747491">
        <w:t>(4), 288-297.</w:t>
      </w:r>
      <w:r w:rsidR="003A59C5" w:rsidRPr="00747491">
        <w:t xml:space="preserve"> </w:t>
      </w:r>
      <w:hyperlink r:id="rId30" w:history="1">
        <w:r w:rsidR="0033428C" w:rsidRPr="005A069F">
          <w:rPr>
            <w:rStyle w:val="Hyperlink"/>
          </w:rPr>
          <w:t>https://doi.org/10.1037/a0020424</w:t>
        </w:r>
      </w:hyperlink>
      <w:r w:rsidR="0033428C">
        <w:t xml:space="preserve"> </w:t>
      </w:r>
    </w:p>
    <w:p w:rsidR="000023AB" w:rsidRDefault="005E15C8" w:rsidP="005C1434">
      <w:pPr>
        <w:pStyle w:val="References"/>
        <w:spacing w:after="0"/>
        <w:ind w:left="357" w:hanging="357"/>
      </w:pPr>
      <w:proofErr w:type="spellStart"/>
      <w:r w:rsidRPr="00747491">
        <w:t>Yankelovich</w:t>
      </w:r>
      <w:proofErr w:type="spellEnd"/>
      <w:r w:rsidRPr="00747491">
        <w:t xml:space="preserve">, D. (2006). </w:t>
      </w:r>
      <w:proofErr w:type="gramStart"/>
      <w:r w:rsidRPr="00747491">
        <w:t>Higher education in 2015.</w:t>
      </w:r>
      <w:proofErr w:type="gramEnd"/>
      <w:r w:rsidRPr="00747491">
        <w:t xml:space="preserve"> </w:t>
      </w:r>
      <w:r w:rsidRPr="00FF7483">
        <w:rPr>
          <w:i/>
        </w:rPr>
        <w:t>Education Digest</w:t>
      </w:r>
      <w:r w:rsidRPr="00747491">
        <w:t xml:space="preserve">, </w:t>
      </w:r>
      <w:r w:rsidR="002A6145" w:rsidRPr="002A6145">
        <w:rPr>
          <w:i/>
        </w:rPr>
        <w:t>71</w:t>
      </w:r>
      <w:r w:rsidR="002A6145">
        <w:t>(5)</w:t>
      </w:r>
      <w:r w:rsidRPr="00747491">
        <w:t>, 43-53.</w:t>
      </w:r>
      <w:bookmarkEnd w:id="15"/>
    </w:p>
    <w:p w:rsidR="009E426D" w:rsidRPr="00747491" w:rsidRDefault="009E426D" w:rsidP="005C1434">
      <w:pPr>
        <w:pStyle w:val="References"/>
        <w:spacing w:after="0"/>
        <w:ind w:left="357" w:hanging="357"/>
      </w:pPr>
    </w:p>
    <w:p w:rsidR="003D08A1" w:rsidRDefault="00D1570F" w:rsidP="009E7E83">
      <w:pPr>
        <w:pStyle w:val="Heading1"/>
        <w:spacing w:before="240" w:after="0"/>
      </w:pPr>
      <w:r>
        <w:t>Biograph</w:t>
      </w:r>
      <w:r w:rsidR="007B3913">
        <w:t>ies</w:t>
      </w:r>
      <w:r w:rsidR="00E86D7D">
        <w:tab/>
      </w:r>
    </w:p>
    <w:p w:rsidR="003015B7" w:rsidRDefault="0002153C" w:rsidP="002E2D8D">
      <w:pPr>
        <w:spacing w:before="120"/>
      </w:pPr>
      <w:r w:rsidRPr="0028266B">
        <w:rPr>
          <w:b/>
          <w:noProof/>
        </w:rPr>
        <w:drawing>
          <wp:anchor distT="0" distB="0" distL="114300" distR="114300" simplePos="0" relativeHeight="251661312" behindDoc="0" locked="0" layoutInCell="1" allowOverlap="1" wp14:anchorId="4ADC8D10" wp14:editId="0A1C8099">
            <wp:simplePos x="0" y="0"/>
            <wp:positionH relativeFrom="column">
              <wp:posOffset>0</wp:posOffset>
            </wp:positionH>
            <wp:positionV relativeFrom="paragraph">
              <wp:posOffset>43180</wp:posOffset>
            </wp:positionV>
            <wp:extent cx="1371600" cy="158686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5439" t="-4576" r="2624" b="21737"/>
                    <a:stretch/>
                  </pic:blipFill>
                  <pic:spPr bwMode="auto">
                    <a:xfrm>
                      <a:off x="0" y="0"/>
                      <a:ext cx="1371600" cy="158686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roofErr w:type="spellStart"/>
      <w:r w:rsidR="002E6D9C" w:rsidRPr="0028266B">
        <w:rPr>
          <w:b/>
        </w:rPr>
        <w:t>Dr</w:t>
      </w:r>
      <w:proofErr w:type="spellEnd"/>
      <w:r w:rsidR="002E6D9C" w:rsidRPr="0028266B">
        <w:rPr>
          <w:b/>
        </w:rPr>
        <w:t xml:space="preserve"> Lee Fergusson</w:t>
      </w:r>
      <w:r w:rsidR="002E6D9C" w:rsidRPr="00C90668">
        <w:t xml:space="preserve"> i</w:t>
      </w:r>
      <w:r w:rsidR="002E6D9C">
        <w:t xml:space="preserve">s Associate Professor of Professional Studies at </w:t>
      </w:r>
      <w:r w:rsidR="005F7532">
        <w:t xml:space="preserve">the </w:t>
      </w:r>
      <w:r w:rsidR="002E6D9C">
        <w:t>University of Southern Queensland.</w:t>
      </w:r>
      <w:r w:rsidR="00716872">
        <w:t xml:space="preserve"> He has a 40-year career in higher education, including Assistant Professor of Vedic Science and Art at M</w:t>
      </w:r>
      <w:r w:rsidR="00716872">
        <w:t>a</w:t>
      </w:r>
      <w:r w:rsidR="00716872">
        <w:t>harishi University of Management, Fairfield, Iowa, and founding Rector of Mah</w:t>
      </w:r>
      <w:r w:rsidR="00716872">
        <w:t>a</w:t>
      </w:r>
      <w:r w:rsidR="00716872">
        <w:t xml:space="preserve">rishi Vedic University, Prey </w:t>
      </w:r>
      <w:proofErr w:type="spellStart"/>
      <w:r w:rsidR="00716872">
        <w:t>Veng</w:t>
      </w:r>
      <w:proofErr w:type="spellEnd"/>
      <w:r w:rsidR="00716872">
        <w:t xml:space="preserve">, Cambodia, for which he </w:t>
      </w:r>
      <w:r w:rsidR="00875026">
        <w:t>was award</w:t>
      </w:r>
      <w:r w:rsidR="00716872">
        <w:t>ed</w:t>
      </w:r>
      <w:r w:rsidR="00875026">
        <w:t xml:space="preserve"> the</w:t>
      </w:r>
      <w:r w:rsidR="00716872">
        <w:t xml:space="preserve"> </w:t>
      </w:r>
      <w:r w:rsidR="00716872" w:rsidRPr="00716872">
        <w:rPr>
          <w:i/>
        </w:rPr>
        <w:t xml:space="preserve">Royal Order of </w:t>
      </w:r>
      <w:proofErr w:type="spellStart"/>
      <w:r w:rsidR="00716872" w:rsidRPr="00716872">
        <w:rPr>
          <w:i/>
        </w:rPr>
        <w:t>Sahametrei</w:t>
      </w:r>
      <w:proofErr w:type="spellEnd"/>
      <w:r w:rsidR="00716872">
        <w:t>,</w:t>
      </w:r>
      <w:r w:rsidR="00875026">
        <w:t xml:space="preserve"> the highest civilian honor</w:t>
      </w:r>
      <w:r w:rsidR="00A83B2F">
        <w:t>,</w:t>
      </w:r>
      <w:r w:rsidR="00716872">
        <w:t xml:space="preserve"> </w:t>
      </w:r>
      <w:r w:rsidR="00875026">
        <w:t>from</w:t>
      </w:r>
      <w:r w:rsidR="00716872">
        <w:t xml:space="preserve"> King </w:t>
      </w:r>
      <w:r w:rsidR="001477D8">
        <w:t xml:space="preserve">Norodom </w:t>
      </w:r>
      <w:proofErr w:type="spellStart"/>
      <w:r w:rsidR="001477D8">
        <w:t>Sihamoni</w:t>
      </w:r>
      <w:proofErr w:type="spellEnd"/>
      <w:r w:rsidR="00716872">
        <w:t xml:space="preserve"> in his 2016 honors list. </w:t>
      </w:r>
      <w:proofErr w:type="spellStart"/>
      <w:r w:rsidR="00716872">
        <w:t>Dr</w:t>
      </w:r>
      <w:proofErr w:type="spellEnd"/>
      <w:r w:rsidR="00716872">
        <w:t xml:space="preserve"> Fergusson </w:t>
      </w:r>
      <w:r w:rsidR="00C222DA">
        <w:t>is the author or editor of</w:t>
      </w:r>
      <w:r w:rsidR="00716872">
        <w:t xml:space="preserve"> </w:t>
      </w:r>
      <w:r w:rsidR="00BF1C7B">
        <w:t>ten</w:t>
      </w:r>
      <w:r w:rsidR="00716872">
        <w:t xml:space="preserve"> books and</w:t>
      </w:r>
      <w:r w:rsidR="00C222DA">
        <w:t xml:space="preserve"> </w:t>
      </w:r>
      <w:r w:rsidR="00BF1C7B">
        <w:t xml:space="preserve">multiple </w:t>
      </w:r>
      <w:r w:rsidR="00716872">
        <w:t xml:space="preserve">research papers in </w:t>
      </w:r>
      <w:r w:rsidR="00716872" w:rsidRPr="00716872">
        <w:rPr>
          <w:i/>
        </w:rPr>
        <w:t>American Journal of Environmental Protection</w:t>
      </w:r>
      <w:r w:rsidR="00716872">
        <w:t>,</w:t>
      </w:r>
      <w:r w:rsidR="00716872" w:rsidRPr="00716872">
        <w:t xml:space="preserve"> </w:t>
      </w:r>
      <w:r w:rsidR="00716872" w:rsidRPr="00716872">
        <w:rPr>
          <w:i/>
        </w:rPr>
        <w:t>Asian Journal of Chemistr</w:t>
      </w:r>
      <w:r w:rsidR="00716872">
        <w:rPr>
          <w:i/>
        </w:rPr>
        <w:t>y</w:t>
      </w:r>
      <w:r w:rsidR="00716872">
        <w:t xml:space="preserve">, </w:t>
      </w:r>
      <w:r w:rsidR="00BF1C7B" w:rsidRPr="00BF1C7B">
        <w:rPr>
          <w:i/>
        </w:rPr>
        <w:t>College Student Journal</w:t>
      </w:r>
      <w:r w:rsidR="00BF1C7B">
        <w:t xml:space="preserve">, </w:t>
      </w:r>
      <w:r w:rsidR="00716872" w:rsidRPr="00716872">
        <w:rPr>
          <w:i/>
        </w:rPr>
        <w:t>History of Education</w:t>
      </w:r>
      <w:r w:rsidR="00716872">
        <w:t>,</w:t>
      </w:r>
      <w:r w:rsidR="00716872" w:rsidRPr="00716872">
        <w:t xml:space="preserve"> </w:t>
      </w:r>
      <w:r w:rsidR="00716872" w:rsidRPr="00716872">
        <w:rPr>
          <w:i/>
        </w:rPr>
        <w:t>Higher Education Research and Development</w:t>
      </w:r>
      <w:r w:rsidR="00716872">
        <w:t>,</w:t>
      </w:r>
      <w:r w:rsidR="00716872" w:rsidRPr="00716872">
        <w:t xml:space="preserve"> </w:t>
      </w:r>
      <w:r w:rsidR="00716872" w:rsidRPr="00716872">
        <w:rPr>
          <w:i/>
        </w:rPr>
        <w:t>Indian Journal of Education</w:t>
      </w:r>
      <w:r w:rsidR="00BF1C7B">
        <w:t xml:space="preserve">, </w:t>
      </w:r>
      <w:r w:rsidR="00716872">
        <w:t xml:space="preserve">and </w:t>
      </w:r>
      <w:r w:rsidR="00716872" w:rsidRPr="00716872">
        <w:rPr>
          <w:i/>
        </w:rPr>
        <w:t>Perceptual and Motor Skills</w:t>
      </w:r>
      <w:r w:rsidR="0028266B">
        <w:t>.</w:t>
      </w:r>
    </w:p>
    <w:p w:rsidR="00420B84" w:rsidRDefault="00420B84" w:rsidP="002E2D8D">
      <w:pPr>
        <w:spacing w:before="120"/>
      </w:pPr>
    </w:p>
    <w:p w:rsidR="00FA11D0" w:rsidRDefault="00420B84" w:rsidP="00FF7483">
      <w:r>
        <w:rPr>
          <w:b/>
          <w:noProof/>
        </w:rPr>
        <w:drawing>
          <wp:anchor distT="0" distB="0" distL="114300" distR="114300" simplePos="0" relativeHeight="251662336" behindDoc="0" locked="0" layoutInCell="1" allowOverlap="1" wp14:anchorId="2661696F" wp14:editId="02169900">
            <wp:simplePos x="0" y="0"/>
            <wp:positionH relativeFrom="column">
              <wp:align>left</wp:align>
            </wp:positionH>
            <wp:positionV relativeFrom="paragraph">
              <wp:posOffset>0</wp:posOffset>
            </wp:positionV>
            <wp:extent cx="1368884" cy="1472184"/>
            <wp:effectExtent l="0" t="0" r="317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im Allred Headshot.JPG"/>
                    <pic:cNvPicPr/>
                  </pic:nvPicPr>
                  <pic:blipFill rotWithShape="1">
                    <a:blip r:embed="rId32" cstate="print">
                      <a:extLst>
                        <a:ext uri="{28A0092B-C50C-407E-A947-70E740481C1C}">
                          <a14:useLocalDpi xmlns:a14="http://schemas.microsoft.com/office/drawing/2010/main" val="0"/>
                        </a:ext>
                      </a:extLst>
                    </a:blip>
                    <a:srcRect t="5035" b="16686"/>
                    <a:stretch/>
                  </pic:blipFill>
                  <pic:spPr bwMode="auto">
                    <a:xfrm>
                      <a:off x="0" y="0"/>
                      <a:ext cx="1368884" cy="1472184"/>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975944">
        <w:rPr>
          <w:b/>
        </w:rPr>
        <w:t>T</w:t>
      </w:r>
      <w:r w:rsidR="0028266B" w:rsidRPr="00782DAA">
        <w:rPr>
          <w:b/>
        </w:rPr>
        <w:t>im Allred</w:t>
      </w:r>
      <w:r w:rsidR="00782DAA" w:rsidRPr="003015B7">
        <w:t xml:space="preserve"> is a doctoral candidate in the Professional Studies program a</w:t>
      </w:r>
      <w:r w:rsidR="00A849A6" w:rsidRPr="003015B7">
        <w:t>t</w:t>
      </w:r>
      <w:r w:rsidR="00782DAA" w:rsidRPr="003015B7">
        <w:t xml:space="preserve"> University of Southern Queensland and a certified chartered generalist Occupational Health and Safety professional and a health, safety, env</w:t>
      </w:r>
      <w:r w:rsidR="00782DAA" w:rsidRPr="003015B7">
        <w:t>i</w:t>
      </w:r>
      <w:r w:rsidR="00782DAA" w:rsidRPr="003015B7">
        <w:t>ronment and quality manager at a programmed facility management company in Melbourne.</w:t>
      </w:r>
      <w:r w:rsidR="004E4A99" w:rsidRPr="003015B7">
        <w:t xml:space="preserve"> His research focuses on </w:t>
      </w:r>
      <w:r w:rsidR="00AF6A7D" w:rsidRPr="003015B7">
        <w:t xml:space="preserve">authentic </w:t>
      </w:r>
      <w:r w:rsidR="004E4A99" w:rsidRPr="003015B7">
        <w:t>safety leade</w:t>
      </w:r>
      <w:r w:rsidR="004E4A99" w:rsidRPr="003015B7">
        <w:t>r</w:t>
      </w:r>
      <w:r w:rsidR="004E4A99" w:rsidRPr="003015B7">
        <w:t>ship and organizational performance.</w:t>
      </w:r>
    </w:p>
    <w:p w:rsidR="0002153C" w:rsidRDefault="0002153C" w:rsidP="0002153C">
      <w:pPr>
        <w:spacing w:after="0"/>
      </w:pPr>
    </w:p>
    <w:p w:rsidR="0033428C" w:rsidRDefault="0033428C" w:rsidP="00FF7483"/>
    <w:p w:rsidR="00420B84" w:rsidRDefault="00420B84">
      <w:pPr>
        <w:spacing w:after="0"/>
      </w:pPr>
      <w:r>
        <w:br w:type="page"/>
      </w:r>
    </w:p>
    <w:p w:rsidR="00C6566E" w:rsidRDefault="0002153C" w:rsidP="00FF7483">
      <w:r>
        <w:rPr>
          <w:noProof/>
        </w:rPr>
        <w:lastRenderedPageBreak/>
        <w:drawing>
          <wp:anchor distT="0" distB="0" distL="114300" distR="114300" simplePos="0" relativeHeight="251663360" behindDoc="0" locked="0" layoutInCell="1" allowOverlap="1" wp14:anchorId="48301496" wp14:editId="7792A391">
            <wp:simplePos x="0" y="0"/>
            <wp:positionH relativeFrom="column">
              <wp:align>left</wp:align>
            </wp:positionH>
            <wp:positionV relativeFrom="paragraph">
              <wp:posOffset>0</wp:posOffset>
            </wp:positionV>
            <wp:extent cx="1367799" cy="1554480"/>
            <wp:effectExtent l="0" t="0" r="3810"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4165" b="12140"/>
                    <a:stretch/>
                  </pic:blipFill>
                  <pic:spPr bwMode="auto">
                    <a:xfrm>
                      <a:off x="0" y="0"/>
                      <a:ext cx="1367799" cy="1554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566E" w:rsidRPr="00891178">
        <w:rPr>
          <w:b/>
        </w:rPr>
        <w:t>Troy Dux</w:t>
      </w:r>
      <w:r w:rsidR="00C6566E">
        <w:t xml:space="preserve"> </w:t>
      </w:r>
      <w:r w:rsidR="00C6566E" w:rsidRPr="005E591D">
        <w:t>obtained his Masters</w:t>
      </w:r>
      <w:r w:rsidR="00A1159D">
        <w:t>’</w:t>
      </w:r>
      <w:r w:rsidR="00C6566E" w:rsidRPr="005E591D">
        <w:t xml:space="preserve"> </w:t>
      </w:r>
      <w:r w:rsidR="00C6566E">
        <w:t>d</w:t>
      </w:r>
      <w:r w:rsidR="00C6566E" w:rsidRPr="005E591D">
        <w:t xml:space="preserve">egree from Charles Sturt University in 2014 and </w:t>
      </w:r>
      <w:r w:rsidR="00C6566E">
        <w:t>is a doctoral ca</w:t>
      </w:r>
      <w:r w:rsidR="00C6566E">
        <w:t>n</w:t>
      </w:r>
      <w:r w:rsidR="00C6566E">
        <w:t xml:space="preserve">didate in the Professional Studies program at University of Southern Queensland. </w:t>
      </w:r>
      <w:r w:rsidR="00C6566E" w:rsidRPr="005E591D">
        <w:t xml:space="preserve">His research </w:t>
      </w:r>
      <w:r w:rsidR="00C6566E">
        <w:t>f</w:t>
      </w:r>
      <w:r w:rsidR="00C6566E">
        <w:t>o</w:t>
      </w:r>
      <w:r w:rsidR="00C6566E">
        <w:t>cuses</w:t>
      </w:r>
      <w:r w:rsidR="00C6566E" w:rsidRPr="005E591D">
        <w:t xml:space="preserve"> on </w:t>
      </w:r>
      <w:r w:rsidR="00C6566E">
        <w:t>i</w:t>
      </w:r>
      <w:r w:rsidR="00C6566E" w:rsidRPr="005E591D">
        <w:t xml:space="preserve">nvestigator </w:t>
      </w:r>
      <w:r w:rsidR="00C6566E">
        <w:t>identity, professionalization</w:t>
      </w:r>
      <w:r w:rsidR="00C6566E" w:rsidRPr="005E591D">
        <w:t xml:space="preserve"> and training.</w:t>
      </w:r>
    </w:p>
    <w:p w:rsidR="00D1570F" w:rsidRPr="00D1570F" w:rsidRDefault="00D1570F" w:rsidP="00FF7483"/>
    <w:sectPr w:rsidR="00D1570F" w:rsidRPr="00D1570F" w:rsidSect="007468EE">
      <w:headerReference w:type="even" r:id="rId34"/>
      <w:headerReference w:type="default" r:id="rId35"/>
      <w:footerReference w:type="even" r:id="rId36"/>
      <w:footerReference w:type="default" r:id="rId37"/>
      <w:headerReference w:type="first" r:id="rId38"/>
      <w:footerReference w:type="first" r:id="rId39"/>
      <w:pgSz w:w="12240" w:h="15840" w:code="1"/>
      <w:pgMar w:top="1440" w:right="1440" w:bottom="1440" w:left="216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501C" w:rsidRDefault="007F501C" w:rsidP="00145B34">
      <w:r>
        <w:separator/>
      </w:r>
    </w:p>
  </w:endnote>
  <w:endnote w:type="continuationSeparator" w:id="0">
    <w:p w:rsidR="007F501C" w:rsidRDefault="007F501C"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Gill Sans MT">
    <w:panose1 w:val="020B0502020104020203"/>
    <w:charset w:val="00"/>
    <w:family w:val="swiss"/>
    <w:pitch w:val="variable"/>
    <w:sig w:usb0="00000007" w:usb1="00000000" w:usb2="00000000" w:usb3="00000000" w:csb0="00000003" w:csb1="00000000"/>
  </w:font>
  <w:font w:name="HelveticaNeueLT Std Thin">
    <w:altName w:val="Arial"/>
    <w:panose1 w:val="00000000000000000000"/>
    <w:charset w:val="00"/>
    <w:family w:val="swiss"/>
    <w:notTrueType/>
    <w:pitch w:val="default"/>
    <w:sig w:usb0="00000003" w:usb1="00000000" w:usb2="00000000" w:usb3="00000000" w:csb0="00000001" w:csb1="00000000"/>
  </w:font>
  <w:font w:name="HelveticaNeueLT Std L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4D8" w:rsidRDefault="001D64D8" w:rsidP="00CB5C47">
    <w:pPr>
      <w:spacing w:after="0"/>
    </w:pPr>
    <w:r>
      <w:rPr>
        <w:rStyle w:val="PageNumber"/>
      </w:rPr>
      <w:fldChar w:fldCharType="begin"/>
    </w:r>
    <w:r>
      <w:rPr>
        <w:rStyle w:val="PageNumber"/>
      </w:rPr>
      <w:instrText xml:space="preserve"> PAGE </w:instrText>
    </w:r>
    <w:r>
      <w:rPr>
        <w:rStyle w:val="PageNumber"/>
      </w:rPr>
      <w:fldChar w:fldCharType="separate"/>
    </w:r>
    <w:r w:rsidR="00596BDA">
      <w:rPr>
        <w:rStyle w:val="PageNumber"/>
        <w:noProof/>
      </w:rPr>
      <w:t>2</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4D8" w:rsidRDefault="001D64D8"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596BDA">
      <w:rPr>
        <w:rStyle w:val="PageNumber"/>
        <w:noProof/>
      </w:rPr>
      <w:t>17</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4D8" w:rsidRPr="002918E1" w:rsidRDefault="001D64D8" w:rsidP="00CB5C47">
    <w:pPr>
      <w:pStyle w:val="PaperInfo"/>
      <w:spacing w:after="120"/>
      <w:rPr>
        <w:sz w:val="20"/>
        <w:szCs w:val="20"/>
      </w:rPr>
    </w:pPr>
    <w:bookmarkStart w:id="17" w:name="OLE_LINK7"/>
    <w:bookmarkStart w:id="18" w:name="OLE_LINK8"/>
    <w:bookmarkStart w:id="19" w:name="OLE_LINK48"/>
    <w:bookmarkStart w:id="20" w:name="OLE_LINK49"/>
    <w:bookmarkStart w:id="21" w:name="_Hlk461732113"/>
    <w:bookmarkStart w:id="22" w:name="OLE_LINK50"/>
    <w:bookmarkStart w:id="23" w:name="OLE_LINK51"/>
    <w:bookmarkStart w:id="24" w:name="_Hlk461732119"/>
    <w:bookmarkStart w:id="25" w:name="OLE_LINK52"/>
    <w:bookmarkStart w:id="26" w:name="OLE_LINK53"/>
    <w:bookmarkStart w:id="27" w:name="_Hlk461732120"/>
    <w:r w:rsidRPr="002918E1">
      <w:rPr>
        <w:sz w:val="20"/>
        <w:szCs w:val="20"/>
      </w:rPr>
      <w:t xml:space="preserve">Accepting Editor: </w:t>
    </w:r>
    <w:r w:rsidR="0033428C" w:rsidRPr="002918E1">
      <w:rPr>
        <w:sz w:val="20"/>
        <w:szCs w:val="20"/>
      </w:rPr>
      <w:t xml:space="preserve">Fay </w:t>
    </w:r>
    <w:proofErr w:type="spellStart"/>
    <w:r w:rsidR="0033428C" w:rsidRPr="002918E1">
      <w:rPr>
        <w:sz w:val="20"/>
        <w:szCs w:val="20"/>
      </w:rPr>
      <w:t>Sudweeks</w:t>
    </w:r>
    <w:proofErr w:type="spellEnd"/>
    <w:r w:rsidRPr="002918E1">
      <w:rPr>
        <w:sz w:val="20"/>
        <w:szCs w:val="20"/>
      </w:rPr>
      <w:t xml:space="preserve"> │ Received: </w:t>
    </w:r>
    <w:r w:rsidR="00A12CB6" w:rsidRPr="002918E1">
      <w:rPr>
        <w:sz w:val="20"/>
        <w:szCs w:val="20"/>
      </w:rPr>
      <w:t>October 3, 2017</w:t>
    </w:r>
    <w:r w:rsidRPr="002918E1">
      <w:rPr>
        <w:sz w:val="20"/>
        <w:szCs w:val="20"/>
      </w:rPr>
      <w:t xml:space="preserve"> │ Revised: </w:t>
    </w:r>
    <w:r w:rsidR="00A12CB6" w:rsidRPr="002918E1">
      <w:rPr>
        <w:sz w:val="20"/>
        <w:szCs w:val="20"/>
      </w:rPr>
      <w:t>December 18, December 21, D</w:t>
    </w:r>
    <w:r w:rsidR="00A12CB6" w:rsidRPr="002918E1">
      <w:rPr>
        <w:sz w:val="20"/>
        <w:szCs w:val="20"/>
      </w:rPr>
      <w:t>e</w:t>
    </w:r>
    <w:r w:rsidR="00A12CB6" w:rsidRPr="002918E1">
      <w:rPr>
        <w:sz w:val="20"/>
        <w:szCs w:val="20"/>
      </w:rPr>
      <w:t>cember 26, 2017</w:t>
    </w:r>
    <w:r w:rsidRPr="002918E1">
      <w:rPr>
        <w:sz w:val="20"/>
        <w:szCs w:val="20"/>
      </w:rPr>
      <w:t xml:space="preserve"> │ Accepted: </w:t>
    </w:r>
    <w:r w:rsidR="00A12CB6" w:rsidRPr="002918E1">
      <w:rPr>
        <w:sz w:val="20"/>
        <w:szCs w:val="20"/>
      </w:rPr>
      <w:t>December 26, 2017</w:t>
    </w:r>
    <w:r w:rsidR="00A12CB6" w:rsidRPr="002918E1">
      <w:rPr>
        <w:sz w:val="20"/>
        <w:szCs w:val="20"/>
      </w:rPr>
      <w:br/>
    </w:r>
    <w:r w:rsidRPr="002918E1">
      <w:rPr>
        <w:sz w:val="20"/>
        <w:szCs w:val="20"/>
      </w:rPr>
      <w:t xml:space="preserve">Cite as: </w:t>
    </w:r>
    <w:r w:rsidR="00A12CB6" w:rsidRPr="002918E1">
      <w:rPr>
        <w:sz w:val="20"/>
        <w:szCs w:val="20"/>
      </w:rPr>
      <w:t>Fergusson, L., Allred, T., &amp; Dux, T. (2018). Work-based learning and research for mid-career profe</w:t>
    </w:r>
    <w:r w:rsidR="00A12CB6" w:rsidRPr="002918E1">
      <w:rPr>
        <w:sz w:val="20"/>
        <w:szCs w:val="20"/>
      </w:rPr>
      <w:t>s</w:t>
    </w:r>
    <w:r w:rsidR="00A12CB6" w:rsidRPr="002918E1">
      <w:rPr>
        <w:sz w:val="20"/>
        <w:szCs w:val="20"/>
      </w:rPr>
      <w:t xml:space="preserve">sionals: Professional studies in Australia. </w:t>
    </w:r>
    <w:r w:rsidR="00A12CB6" w:rsidRPr="002918E1">
      <w:rPr>
        <w:bCs/>
        <w:i/>
        <w:sz w:val="20"/>
        <w:szCs w:val="20"/>
      </w:rPr>
      <w:t>Interdisciplinary Journal of E-Skills and Lifelong Learning, 14</w:t>
    </w:r>
    <w:r w:rsidR="00A12CB6" w:rsidRPr="002918E1">
      <w:rPr>
        <w:sz w:val="20"/>
        <w:szCs w:val="20"/>
      </w:rPr>
      <w:t xml:space="preserve">, </w:t>
    </w:r>
    <w:r w:rsidR="002918E1" w:rsidRPr="002918E1">
      <w:rPr>
        <w:sz w:val="20"/>
        <w:szCs w:val="20"/>
      </w:rPr>
      <w:t xml:space="preserve">1-17. </w:t>
    </w:r>
    <w:hyperlink r:id="rId1" w:history="1">
      <w:r w:rsidR="002918E1" w:rsidRPr="002918E1">
        <w:rPr>
          <w:rStyle w:val="Hyperlink"/>
          <w:sz w:val="20"/>
          <w:szCs w:val="20"/>
        </w:rPr>
        <w:t>https://doi.org/10.28945/3930</w:t>
      </w:r>
    </w:hyperlink>
    <w:r w:rsidR="002918E1" w:rsidRPr="002918E1">
      <w:rPr>
        <w:sz w:val="20"/>
        <w:szCs w:val="20"/>
      </w:rPr>
      <w:t xml:space="preserve"> </w:t>
    </w:r>
    <w:r w:rsidRPr="002918E1">
      <w:rPr>
        <w:sz w:val="20"/>
        <w:szCs w:val="20"/>
      </w:rPr>
      <w:t xml:space="preserve"> </w:t>
    </w:r>
  </w:p>
  <w:p w:rsidR="001D64D8" w:rsidRPr="007468EE" w:rsidRDefault="001D64D8" w:rsidP="007468EE">
    <w:pPr>
      <w:rPr>
        <w:sz w:val="18"/>
        <w:szCs w:val="18"/>
      </w:rPr>
    </w:pPr>
    <w:bookmarkStart w:id="28" w:name="OLE_LINK1"/>
    <w:bookmarkStart w:id="29" w:name="OLE_LINK2"/>
    <w:bookmarkStart w:id="30" w:name="_Hlk460832760"/>
    <w:bookmarkStart w:id="31" w:name="OLE_LINK3"/>
    <w:bookmarkStart w:id="32" w:name="OLE_LINK4"/>
    <w:bookmarkStart w:id="33" w:name="_Hlk460832771"/>
    <w:bookmarkStart w:id="34" w:name="OLE_LINK5"/>
    <w:bookmarkStart w:id="35" w:name="OLE_LINK6"/>
    <w:bookmarkStart w:id="36" w:name="_Hlk460832773"/>
    <w:r w:rsidRPr="007468EE">
      <w:rPr>
        <w:sz w:val="18"/>
        <w:szCs w:val="18"/>
      </w:rPr>
      <w:t xml:space="preserve">(CC BY-NC 4.0) This article is licensed to you under a </w:t>
    </w:r>
    <w:bookmarkStart w:id="37" w:name="OLE_LINK17"/>
    <w:bookmarkStart w:id="38"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37"/>
    <w:bookmarkEnd w:id="38"/>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501C" w:rsidRDefault="007F501C" w:rsidP="00145B34">
      <w:r>
        <w:separator/>
      </w:r>
    </w:p>
  </w:footnote>
  <w:footnote w:type="continuationSeparator" w:id="0">
    <w:p w:rsidR="007F501C" w:rsidRDefault="007F501C"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4D8" w:rsidRDefault="001D64D8" w:rsidP="0099015B">
    <w:r>
      <w:t xml:space="preserve">Work-based </w:t>
    </w:r>
    <w:r w:rsidR="00153D44">
      <w:t xml:space="preserve">Learning </w:t>
    </w:r>
    <w:r>
      <w:t xml:space="preserve">and </w:t>
    </w:r>
    <w:r w:rsidR="00153D44">
      <w:t>Research</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4D8" w:rsidRDefault="001D64D8" w:rsidP="00CB5C47">
    <w:pPr>
      <w:jc w:val="right"/>
    </w:pPr>
    <w:r>
      <w:t>Fergusson, Allred</w:t>
    </w:r>
    <w:r w:rsidR="00153D44">
      <w:t>,</w:t>
    </w:r>
    <w:r>
      <w:t xml:space="preserve"> </w:t>
    </w:r>
    <w:r w:rsidR="00153D44">
      <w:t>&amp;</w:t>
    </w:r>
    <w:r>
      <w:t xml:space="preserve"> Dux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4D8" w:rsidRDefault="0022187A" w:rsidP="00145B34">
    <w:pPr>
      <w:pStyle w:val="Header"/>
    </w:pPr>
    <w:r>
      <w:rPr>
        <w:noProof/>
      </w:rPr>
      <w:drawing>
        <wp:inline distT="0" distB="0" distL="0" distR="0" wp14:anchorId="79F4F047" wp14:editId="44B2D1AC">
          <wp:extent cx="5478780" cy="1170305"/>
          <wp:effectExtent l="0" t="0" r="7620" b="0"/>
          <wp:docPr id="2" name="Picture 2"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rsidR="001D64D8" w:rsidRPr="007468EE" w:rsidRDefault="001D64D8" w:rsidP="00932FE6">
    <w:pPr>
      <w:jc w:val="center"/>
      <w:rPr>
        <w:b/>
        <w:sz w:val="28"/>
      </w:rPr>
    </w:pPr>
    <w:r w:rsidRPr="007468EE">
      <w:rPr>
        <w:b/>
        <w:sz w:val="28"/>
      </w:rPr>
      <w:t xml:space="preserve">Volume </w:t>
    </w:r>
    <w:r w:rsidR="0022187A">
      <w:rPr>
        <w:b/>
        <w:sz w:val="28"/>
      </w:rPr>
      <w:t>14</w:t>
    </w:r>
    <w:r w:rsidRPr="007468EE">
      <w:rPr>
        <w:b/>
        <w:sz w:val="28"/>
      </w:rPr>
      <w:t>, 20</w:t>
    </w:r>
    <w:r w:rsidR="0022187A">
      <w:rPr>
        <w:b/>
        <w:sz w:val="28"/>
      </w:rPr>
      <w:t>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A60413B"/>
    <w:multiLevelType w:val="multilevel"/>
    <w:tmpl w:val="7F429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F5116B4"/>
    <w:multiLevelType w:val="multilevel"/>
    <w:tmpl w:val="356A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897E94"/>
    <w:multiLevelType w:val="multilevel"/>
    <w:tmpl w:val="814CA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1"/>
  </w:num>
  <w:num w:numId="4">
    <w:abstractNumId w:val="3"/>
  </w:num>
  <w:num w:numId="5">
    <w:abstractNumId w:val="2"/>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r Lee Fergusson">
    <w15:presenceInfo w15:providerId="Windows Live" w15:userId="aef1acb3c1c939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1228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oFAMKvGfwtAAAA"/>
  </w:docVars>
  <w:rsids>
    <w:rsidRoot w:val="007415BB"/>
    <w:rsid w:val="000023AB"/>
    <w:rsid w:val="000063D9"/>
    <w:rsid w:val="000120AC"/>
    <w:rsid w:val="0001512D"/>
    <w:rsid w:val="00020788"/>
    <w:rsid w:val="0002153C"/>
    <w:rsid w:val="0004359F"/>
    <w:rsid w:val="00051087"/>
    <w:rsid w:val="00060FC6"/>
    <w:rsid w:val="00066309"/>
    <w:rsid w:val="0007154C"/>
    <w:rsid w:val="00084342"/>
    <w:rsid w:val="0008741F"/>
    <w:rsid w:val="000875BB"/>
    <w:rsid w:val="00090913"/>
    <w:rsid w:val="00093D70"/>
    <w:rsid w:val="00094149"/>
    <w:rsid w:val="00097567"/>
    <w:rsid w:val="000A1560"/>
    <w:rsid w:val="000A1CED"/>
    <w:rsid w:val="000A6737"/>
    <w:rsid w:val="000B3EA9"/>
    <w:rsid w:val="000C0147"/>
    <w:rsid w:val="000C7319"/>
    <w:rsid w:val="000D00DA"/>
    <w:rsid w:val="000D2C49"/>
    <w:rsid w:val="000E6F33"/>
    <w:rsid w:val="000E76E8"/>
    <w:rsid w:val="000F399E"/>
    <w:rsid w:val="000F4AFB"/>
    <w:rsid w:val="00103886"/>
    <w:rsid w:val="00103DB2"/>
    <w:rsid w:val="00113B16"/>
    <w:rsid w:val="00125E70"/>
    <w:rsid w:val="00126CAA"/>
    <w:rsid w:val="00127ED2"/>
    <w:rsid w:val="00131150"/>
    <w:rsid w:val="001323DF"/>
    <w:rsid w:val="00133052"/>
    <w:rsid w:val="00145B34"/>
    <w:rsid w:val="001477D8"/>
    <w:rsid w:val="0015066E"/>
    <w:rsid w:val="00153D44"/>
    <w:rsid w:val="001543C4"/>
    <w:rsid w:val="00154A59"/>
    <w:rsid w:val="00156D79"/>
    <w:rsid w:val="0016026E"/>
    <w:rsid w:val="00161AFF"/>
    <w:rsid w:val="00163C57"/>
    <w:rsid w:val="00167955"/>
    <w:rsid w:val="001704E4"/>
    <w:rsid w:val="00174598"/>
    <w:rsid w:val="001756B1"/>
    <w:rsid w:val="00184E4F"/>
    <w:rsid w:val="00196791"/>
    <w:rsid w:val="001B6E76"/>
    <w:rsid w:val="001C2191"/>
    <w:rsid w:val="001C30C4"/>
    <w:rsid w:val="001C7892"/>
    <w:rsid w:val="001D64D8"/>
    <w:rsid w:val="001E05A9"/>
    <w:rsid w:val="001E6D2F"/>
    <w:rsid w:val="002009F4"/>
    <w:rsid w:val="002019AC"/>
    <w:rsid w:val="00202462"/>
    <w:rsid w:val="00214877"/>
    <w:rsid w:val="002201A6"/>
    <w:rsid w:val="0022187A"/>
    <w:rsid w:val="00226AAA"/>
    <w:rsid w:val="00235397"/>
    <w:rsid w:val="00237685"/>
    <w:rsid w:val="0025061D"/>
    <w:rsid w:val="00266178"/>
    <w:rsid w:val="00266D59"/>
    <w:rsid w:val="0027309D"/>
    <w:rsid w:val="0027366C"/>
    <w:rsid w:val="002749B9"/>
    <w:rsid w:val="0028231F"/>
    <w:rsid w:val="0028266B"/>
    <w:rsid w:val="0028392E"/>
    <w:rsid w:val="0028668E"/>
    <w:rsid w:val="002877DA"/>
    <w:rsid w:val="00290597"/>
    <w:rsid w:val="00290B9B"/>
    <w:rsid w:val="002918E1"/>
    <w:rsid w:val="002A3749"/>
    <w:rsid w:val="002A4C1A"/>
    <w:rsid w:val="002A6145"/>
    <w:rsid w:val="002D0FD0"/>
    <w:rsid w:val="002E2D8D"/>
    <w:rsid w:val="002E4E72"/>
    <w:rsid w:val="002E5C49"/>
    <w:rsid w:val="002E6D9C"/>
    <w:rsid w:val="002E7045"/>
    <w:rsid w:val="003015B7"/>
    <w:rsid w:val="00303B9B"/>
    <w:rsid w:val="00313D04"/>
    <w:rsid w:val="0031635A"/>
    <w:rsid w:val="0032748C"/>
    <w:rsid w:val="00333C47"/>
    <w:rsid w:val="0033428C"/>
    <w:rsid w:val="00334867"/>
    <w:rsid w:val="00342362"/>
    <w:rsid w:val="00342AE4"/>
    <w:rsid w:val="00355C40"/>
    <w:rsid w:val="00355EE8"/>
    <w:rsid w:val="00362260"/>
    <w:rsid w:val="003624A2"/>
    <w:rsid w:val="00363895"/>
    <w:rsid w:val="00364EA2"/>
    <w:rsid w:val="003653CE"/>
    <w:rsid w:val="00373C5E"/>
    <w:rsid w:val="00377310"/>
    <w:rsid w:val="0038224E"/>
    <w:rsid w:val="0039022D"/>
    <w:rsid w:val="003A1A46"/>
    <w:rsid w:val="003A59C5"/>
    <w:rsid w:val="003A6FE1"/>
    <w:rsid w:val="003A76A7"/>
    <w:rsid w:val="003B241D"/>
    <w:rsid w:val="003B4703"/>
    <w:rsid w:val="003C2D15"/>
    <w:rsid w:val="003C73D0"/>
    <w:rsid w:val="003D08A1"/>
    <w:rsid w:val="003E56A5"/>
    <w:rsid w:val="00400473"/>
    <w:rsid w:val="00406A34"/>
    <w:rsid w:val="00412CF9"/>
    <w:rsid w:val="00420B84"/>
    <w:rsid w:val="00422352"/>
    <w:rsid w:val="00423401"/>
    <w:rsid w:val="0042429F"/>
    <w:rsid w:val="00430432"/>
    <w:rsid w:val="00430FA2"/>
    <w:rsid w:val="00444F2B"/>
    <w:rsid w:val="0044631F"/>
    <w:rsid w:val="0045097F"/>
    <w:rsid w:val="00457002"/>
    <w:rsid w:val="004707CC"/>
    <w:rsid w:val="00480B7C"/>
    <w:rsid w:val="00487F4B"/>
    <w:rsid w:val="004901BD"/>
    <w:rsid w:val="00496074"/>
    <w:rsid w:val="004B171E"/>
    <w:rsid w:val="004B62EB"/>
    <w:rsid w:val="004B6379"/>
    <w:rsid w:val="004C1E3F"/>
    <w:rsid w:val="004C7F6A"/>
    <w:rsid w:val="004D4D1D"/>
    <w:rsid w:val="004E052D"/>
    <w:rsid w:val="004E2610"/>
    <w:rsid w:val="004E4A99"/>
    <w:rsid w:val="004E4AB2"/>
    <w:rsid w:val="00500337"/>
    <w:rsid w:val="00507BF1"/>
    <w:rsid w:val="005277C9"/>
    <w:rsid w:val="00533CC1"/>
    <w:rsid w:val="005416C6"/>
    <w:rsid w:val="0054732E"/>
    <w:rsid w:val="00551234"/>
    <w:rsid w:val="005533ED"/>
    <w:rsid w:val="00553B74"/>
    <w:rsid w:val="00556190"/>
    <w:rsid w:val="005608E4"/>
    <w:rsid w:val="00561A9A"/>
    <w:rsid w:val="00566612"/>
    <w:rsid w:val="0058033F"/>
    <w:rsid w:val="00582291"/>
    <w:rsid w:val="00594160"/>
    <w:rsid w:val="00596BDA"/>
    <w:rsid w:val="005A1FF3"/>
    <w:rsid w:val="005A47B1"/>
    <w:rsid w:val="005A4BF5"/>
    <w:rsid w:val="005B1606"/>
    <w:rsid w:val="005B3863"/>
    <w:rsid w:val="005B6CC3"/>
    <w:rsid w:val="005C0303"/>
    <w:rsid w:val="005C1434"/>
    <w:rsid w:val="005C2352"/>
    <w:rsid w:val="005C7B7B"/>
    <w:rsid w:val="005D1ED2"/>
    <w:rsid w:val="005D2BEB"/>
    <w:rsid w:val="005D7A28"/>
    <w:rsid w:val="005E0FE3"/>
    <w:rsid w:val="005E15C8"/>
    <w:rsid w:val="005E464C"/>
    <w:rsid w:val="005E591D"/>
    <w:rsid w:val="005E7E2D"/>
    <w:rsid w:val="005F0C52"/>
    <w:rsid w:val="005F5026"/>
    <w:rsid w:val="005F7532"/>
    <w:rsid w:val="00633131"/>
    <w:rsid w:val="006475E8"/>
    <w:rsid w:val="00660ADF"/>
    <w:rsid w:val="00667613"/>
    <w:rsid w:val="00677058"/>
    <w:rsid w:val="006832AB"/>
    <w:rsid w:val="00687009"/>
    <w:rsid w:val="00691052"/>
    <w:rsid w:val="006915DD"/>
    <w:rsid w:val="006937F7"/>
    <w:rsid w:val="006B1847"/>
    <w:rsid w:val="006B638B"/>
    <w:rsid w:val="006B64A9"/>
    <w:rsid w:val="006C24B3"/>
    <w:rsid w:val="006C339A"/>
    <w:rsid w:val="006E5B3D"/>
    <w:rsid w:val="006E7B07"/>
    <w:rsid w:val="007061AA"/>
    <w:rsid w:val="007074A7"/>
    <w:rsid w:val="0071078A"/>
    <w:rsid w:val="00716872"/>
    <w:rsid w:val="00732128"/>
    <w:rsid w:val="007415BB"/>
    <w:rsid w:val="007468EE"/>
    <w:rsid w:val="00747491"/>
    <w:rsid w:val="00756154"/>
    <w:rsid w:val="00760E28"/>
    <w:rsid w:val="0076111A"/>
    <w:rsid w:val="007614E9"/>
    <w:rsid w:val="007665B8"/>
    <w:rsid w:val="00782DAA"/>
    <w:rsid w:val="00783C6F"/>
    <w:rsid w:val="00785974"/>
    <w:rsid w:val="0079696D"/>
    <w:rsid w:val="007B1787"/>
    <w:rsid w:val="007B3913"/>
    <w:rsid w:val="007C7978"/>
    <w:rsid w:val="007D4646"/>
    <w:rsid w:val="007E1AE1"/>
    <w:rsid w:val="007E70B1"/>
    <w:rsid w:val="007F501C"/>
    <w:rsid w:val="00805052"/>
    <w:rsid w:val="00807F51"/>
    <w:rsid w:val="008217CC"/>
    <w:rsid w:val="00823165"/>
    <w:rsid w:val="0083644B"/>
    <w:rsid w:val="00842576"/>
    <w:rsid w:val="00843345"/>
    <w:rsid w:val="00845013"/>
    <w:rsid w:val="00860B17"/>
    <w:rsid w:val="0086138E"/>
    <w:rsid w:val="008679E5"/>
    <w:rsid w:val="008708D4"/>
    <w:rsid w:val="00871039"/>
    <w:rsid w:val="00873C2D"/>
    <w:rsid w:val="00875026"/>
    <w:rsid w:val="0088042E"/>
    <w:rsid w:val="00880918"/>
    <w:rsid w:val="00883F5B"/>
    <w:rsid w:val="00890FCC"/>
    <w:rsid w:val="00890FD8"/>
    <w:rsid w:val="00891178"/>
    <w:rsid w:val="0089248D"/>
    <w:rsid w:val="008963E8"/>
    <w:rsid w:val="008A3914"/>
    <w:rsid w:val="008A4AD1"/>
    <w:rsid w:val="008A5DDD"/>
    <w:rsid w:val="008B1A5E"/>
    <w:rsid w:val="008C02B5"/>
    <w:rsid w:val="008C24AE"/>
    <w:rsid w:val="008C7079"/>
    <w:rsid w:val="008D5EE6"/>
    <w:rsid w:val="008E16E2"/>
    <w:rsid w:val="008E27D4"/>
    <w:rsid w:val="008E2C12"/>
    <w:rsid w:val="008E7136"/>
    <w:rsid w:val="008E73C1"/>
    <w:rsid w:val="008F4313"/>
    <w:rsid w:val="008F5238"/>
    <w:rsid w:val="008F6DD4"/>
    <w:rsid w:val="009104AC"/>
    <w:rsid w:val="0091163D"/>
    <w:rsid w:val="00917C63"/>
    <w:rsid w:val="00922977"/>
    <w:rsid w:val="00923F95"/>
    <w:rsid w:val="00932308"/>
    <w:rsid w:val="00932FE6"/>
    <w:rsid w:val="00936B4B"/>
    <w:rsid w:val="0094015D"/>
    <w:rsid w:val="00940676"/>
    <w:rsid w:val="009437DD"/>
    <w:rsid w:val="00944785"/>
    <w:rsid w:val="009529CA"/>
    <w:rsid w:val="00953905"/>
    <w:rsid w:val="00955123"/>
    <w:rsid w:val="009637FD"/>
    <w:rsid w:val="0096712D"/>
    <w:rsid w:val="00971D3C"/>
    <w:rsid w:val="00972599"/>
    <w:rsid w:val="00972F2B"/>
    <w:rsid w:val="00975944"/>
    <w:rsid w:val="00981F5B"/>
    <w:rsid w:val="0098637F"/>
    <w:rsid w:val="0099015B"/>
    <w:rsid w:val="00996662"/>
    <w:rsid w:val="009A3C1A"/>
    <w:rsid w:val="009B05B3"/>
    <w:rsid w:val="009B5E71"/>
    <w:rsid w:val="009B6ED5"/>
    <w:rsid w:val="009C55E2"/>
    <w:rsid w:val="009D7D9A"/>
    <w:rsid w:val="009E22FD"/>
    <w:rsid w:val="009E426D"/>
    <w:rsid w:val="009E7E83"/>
    <w:rsid w:val="009F3F0B"/>
    <w:rsid w:val="009F65B1"/>
    <w:rsid w:val="00A0675E"/>
    <w:rsid w:val="00A1159D"/>
    <w:rsid w:val="00A12CB6"/>
    <w:rsid w:val="00A12D5F"/>
    <w:rsid w:val="00A13144"/>
    <w:rsid w:val="00A149F7"/>
    <w:rsid w:val="00A178B7"/>
    <w:rsid w:val="00A3141F"/>
    <w:rsid w:val="00A34AE0"/>
    <w:rsid w:val="00A47F3C"/>
    <w:rsid w:val="00A54ED5"/>
    <w:rsid w:val="00A55829"/>
    <w:rsid w:val="00A62B3B"/>
    <w:rsid w:val="00A64C2E"/>
    <w:rsid w:val="00A74135"/>
    <w:rsid w:val="00A83B2F"/>
    <w:rsid w:val="00A849A6"/>
    <w:rsid w:val="00A86181"/>
    <w:rsid w:val="00A927A8"/>
    <w:rsid w:val="00A93CD2"/>
    <w:rsid w:val="00A96B24"/>
    <w:rsid w:val="00A96B78"/>
    <w:rsid w:val="00A97A86"/>
    <w:rsid w:val="00AA0CF3"/>
    <w:rsid w:val="00AB3BCA"/>
    <w:rsid w:val="00AC151C"/>
    <w:rsid w:val="00AC2B8A"/>
    <w:rsid w:val="00AC5F7D"/>
    <w:rsid w:val="00AD1295"/>
    <w:rsid w:val="00AD1AA5"/>
    <w:rsid w:val="00AD502F"/>
    <w:rsid w:val="00AD6728"/>
    <w:rsid w:val="00AE5B55"/>
    <w:rsid w:val="00AF5E95"/>
    <w:rsid w:val="00AF6A7D"/>
    <w:rsid w:val="00AF754B"/>
    <w:rsid w:val="00B02B58"/>
    <w:rsid w:val="00B12287"/>
    <w:rsid w:val="00B16CCE"/>
    <w:rsid w:val="00B16ECD"/>
    <w:rsid w:val="00B215C4"/>
    <w:rsid w:val="00B312C3"/>
    <w:rsid w:val="00B31A44"/>
    <w:rsid w:val="00B33902"/>
    <w:rsid w:val="00B436D3"/>
    <w:rsid w:val="00B471B4"/>
    <w:rsid w:val="00B52AD8"/>
    <w:rsid w:val="00B5324C"/>
    <w:rsid w:val="00B60D54"/>
    <w:rsid w:val="00B923A0"/>
    <w:rsid w:val="00B96325"/>
    <w:rsid w:val="00BA023E"/>
    <w:rsid w:val="00BA23C4"/>
    <w:rsid w:val="00BC14B1"/>
    <w:rsid w:val="00BC19C5"/>
    <w:rsid w:val="00BD2ADD"/>
    <w:rsid w:val="00BD603B"/>
    <w:rsid w:val="00BE0B6D"/>
    <w:rsid w:val="00BF1C7B"/>
    <w:rsid w:val="00BF1CED"/>
    <w:rsid w:val="00BF2C8B"/>
    <w:rsid w:val="00BF580D"/>
    <w:rsid w:val="00BF696C"/>
    <w:rsid w:val="00C03B2C"/>
    <w:rsid w:val="00C05611"/>
    <w:rsid w:val="00C14CB1"/>
    <w:rsid w:val="00C17F68"/>
    <w:rsid w:val="00C222DA"/>
    <w:rsid w:val="00C33D4C"/>
    <w:rsid w:val="00C35E11"/>
    <w:rsid w:val="00C410CD"/>
    <w:rsid w:val="00C527A5"/>
    <w:rsid w:val="00C5575B"/>
    <w:rsid w:val="00C650AB"/>
    <w:rsid w:val="00C6566E"/>
    <w:rsid w:val="00C7149A"/>
    <w:rsid w:val="00C716D7"/>
    <w:rsid w:val="00C72101"/>
    <w:rsid w:val="00C733D7"/>
    <w:rsid w:val="00C81823"/>
    <w:rsid w:val="00C8595E"/>
    <w:rsid w:val="00C86FAC"/>
    <w:rsid w:val="00C87E05"/>
    <w:rsid w:val="00C90668"/>
    <w:rsid w:val="00C91577"/>
    <w:rsid w:val="00CA1F52"/>
    <w:rsid w:val="00CA4F07"/>
    <w:rsid w:val="00CB4D01"/>
    <w:rsid w:val="00CB5C47"/>
    <w:rsid w:val="00CB72B4"/>
    <w:rsid w:val="00CC0F6D"/>
    <w:rsid w:val="00CC1B34"/>
    <w:rsid w:val="00CC34AC"/>
    <w:rsid w:val="00CD1B97"/>
    <w:rsid w:val="00CD7873"/>
    <w:rsid w:val="00CE1E46"/>
    <w:rsid w:val="00CF0001"/>
    <w:rsid w:val="00CF1A75"/>
    <w:rsid w:val="00CF63D1"/>
    <w:rsid w:val="00CF6E84"/>
    <w:rsid w:val="00D0296C"/>
    <w:rsid w:val="00D060E1"/>
    <w:rsid w:val="00D142B7"/>
    <w:rsid w:val="00D1570F"/>
    <w:rsid w:val="00D2552C"/>
    <w:rsid w:val="00D35698"/>
    <w:rsid w:val="00D44B79"/>
    <w:rsid w:val="00D476BE"/>
    <w:rsid w:val="00D61F67"/>
    <w:rsid w:val="00D62846"/>
    <w:rsid w:val="00D63624"/>
    <w:rsid w:val="00D6632A"/>
    <w:rsid w:val="00D663F0"/>
    <w:rsid w:val="00D74723"/>
    <w:rsid w:val="00D77F9B"/>
    <w:rsid w:val="00D87C7C"/>
    <w:rsid w:val="00D905EC"/>
    <w:rsid w:val="00D90A95"/>
    <w:rsid w:val="00D916C9"/>
    <w:rsid w:val="00D96090"/>
    <w:rsid w:val="00DA3203"/>
    <w:rsid w:val="00DA3CBC"/>
    <w:rsid w:val="00DA4564"/>
    <w:rsid w:val="00DA742D"/>
    <w:rsid w:val="00DB3FF2"/>
    <w:rsid w:val="00DB4DC1"/>
    <w:rsid w:val="00DC5283"/>
    <w:rsid w:val="00DC5439"/>
    <w:rsid w:val="00DC740E"/>
    <w:rsid w:val="00DE28BD"/>
    <w:rsid w:val="00DE3B3A"/>
    <w:rsid w:val="00DE7282"/>
    <w:rsid w:val="00E002E3"/>
    <w:rsid w:val="00E03817"/>
    <w:rsid w:val="00E14A97"/>
    <w:rsid w:val="00E21133"/>
    <w:rsid w:val="00E25E52"/>
    <w:rsid w:val="00E26125"/>
    <w:rsid w:val="00E4446D"/>
    <w:rsid w:val="00E522FB"/>
    <w:rsid w:val="00E57FFA"/>
    <w:rsid w:val="00E602FA"/>
    <w:rsid w:val="00E6352E"/>
    <w:rsid w:val="00E64D4B"/>
    <w:rsid w:val="00E6544E"/>
    <w:rsid w:val="00E65776"/>
    <w:rsid w:val="00E86D7D"/>
    <w:rsid w:val="00E966B7"/>
    <w:rsid w:val="00E9729D"/>
    <w:rsid w:val="00EA463F"/>
    <w:rsid w:val="00EC26DB"/>
    <w:rsid w:val="00EC304A"/>
    <w:rsid w:val="00EC3F17"/>
    <w:rsid w:val="00EC4D55"/>
    <w:rsid w:val="00EC50CE"/>
    <w:rsid w:val="00ED1338"/>
    <w:rsid w:val="00ED2F72"/>
    <w:rsid w:val="00EE77F3"/>
    <w:rsid w:val="00EF1A49"/>
    <w:rsid w:val="00EF2A7C"/>
    <w:rsid w:val="00EF5E16"/>
    <w:rsid w:val="00F01CFA"/>
    <w:rsid w:val="00F058A6"/>
    <w:rsid w:val="00F06093"/>
    <w:rsid w:val="00F11A1B"/>
    <w:rsid w:val="00F1282A"/>
    <w:rsid w:val="00F2773F"/>
    <w:rsid w:val="00F32E14"/>
    <w:rsid w:val="00F35BE0"/>
    <w:rsid w:val="00F41BD5"/>
    <w:rsid w:val="00F42B00"/>
    <w:rsid w:val="00F5328B"/>
    <w:rsid w:val="00F6093D"/>
    <w:rsid w:val="00F703BE"/>
    <w:rsid w:val="00F849A1"/>
    <w:rsid w:val="00F8695D"/>
    <w:rsid w:val="00F902AD"/>
    <w:rsid w:val="00F91511"/>
    <w:rsid w:val="00F93297"/>
    <w:rsid w:val="00F96D13"/>
    <w:rsid w:val="00FA11D0"/>
    <w:rsid w:val="00FA6E83"/>
    <w:rsid w:val="00FA7E9A"/>
    <w:rsid w:val="00FB35E2"/>
    <w:rsid w:val="00FC08DE"/>
    <w:rsid w:val="00FD5E96"/>
    <w:rsid w:val="00FD7A05"/>
    <w:rsid w:val="00FE2979"/>
    <w:rsid w:val="00FE4024"/>
    <w:rsid w:val="00FE4D12"/>
    <w:rsid w:val="00FE4E27"/>
    <w:rsid w:val="00FF5721"/>
    <w:rsid w:val="00FF7483"/>
    <w:rsid w:val="00FF7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87A"/>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22187A"/>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22187A"/>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22187A"/>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22187A"/>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5E15C8"/>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E15C8"/>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E15C8"/>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E15C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E15C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2187A"/>
    <w:rPr>
      <w:rFonts w:ascii="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22187A"/>
    <w:rPr>
      <w:rFonts w:ascii="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locked/>
    <w:rsid w:val="005E15C8"/>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locked/>
    <w:rsid w:val="005E15C8"/>
    <w:rPr>
      <w:rFonts w:ascii="Garamond" w:hAnsi="Garamond"/>
      <w:b/>
      <w:snapToGrid w:val="0"/>
      <w:kern w:val="20"/>
      <w:sz w:val="18"/>
      <w:szCs w:val="24"/>
      <w14:ligatures w14:val="all"/>
      <w14:stylisticSets>
        <w14:styleSet w14:id="5"/>
      </w14:stylisticSets>
      <w14:cntxtAlts/>
    </w:rPr>
  </w:style>
  <w:style w:type="character" w:customStyle="1" w:styleId="Heading5Char">
    <w:name w:val="Heading 5 Char"/>
    <w:basedOn w:val="DefaultParagraphFont"/>
    <w:link w:val="Heading5"/>
    <w:uiPriority w:val="9"/>
    <w:semiHidden/>
    <w:rsid w:val="005E15C8"/>
    <w:rPr>
      <w:rFonts w:asciiTheme="majorHAnsi" w:eastAsiaTheme="majorEastAsia" w:hAnsiTheme="majorHAnsi" w:cstheme="majorBidi"/>
      <w:color w:val="2E74B5" w:themeColor="accent1" w:themeShade="BF"/>
      <w:kern w:val="20"/>
      <w:sz w:val="22"/>
      <w:szCs w:val="24"/>
      <w14:ligatures w14:val="all"/>
      <w14:stylisticSets>
        <w14:styleSet w14:id="5"/>
      </w14:stylisticSets>
      <w14:cntxtAlts/>
    </w:rPr>
  </w:style>
  <w:style w:type="character" w:customStyle="1" w:styleId="Heading6Char">
    <w:name w:val="Heading 6 Char"/>
    <w:basedOn w:val="DefaultParagraphFont"/>
    <w:link w:val="Heading6"/>
    <w:uiPriority w:val="9"/>
    <w:semiHidden/>
    <w:rsid w:val="005E15C8"/>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character" w:customStyle="1" w:styleId="Heading7Char">
    <w:name w:val="Heading 7 Char"/>
    <w:basedOn w:val="DefaultParagraphFont"/>
    <w:link w:val="Heading7"/>
    <w:uiPriority w:val="9"/>
    <w:semiHidden/>
    <w:rsid w:val="005E15C8"/>
    <w:rPr>
      <w:rFonts w:asciiTheme="majorHAnsi" w:eastAsiaTheme="majorEastAsia" w:hAnsiTheme="majorHAnsi" w:cstheme="majorBidi"/>
      <w:i/>
      <w:iCs/>
      <w:color w:val="1F4D78" w:themeColor="accent1" w:themeShade="7F"/>
      <w:kern w:val="20"/>
      <w:sz w:val="22"/>
      <w:szCs w:val="24"/>
      <w14:ligatures w14:val="all"/>
      <w14:stylisticSets>
        <w14:styleSet w14:id="5"/>
      </w14:stylisticSets>
      <w14:cntxtAlts/>
    </w:rPr>
  </w:style>
  <w:style w:type="character" w:customStyle="1" w:styleId="Heading8Char">
    <w:name w:val="Heading 8 Char"/>
    <w:basedOn w:val="DefaultParagraphFont"/>
    <w:link w:val="Heading8"/>
    <w:uiPriority w:val="9"/>
    <w:semiHidden/>
    <w:rsid w:val="005E15C8"/>
    <w:rPr>
      <w:rFonts w:asciiTheme="majorHAnsi" w:eastAsiaTheme="majorEastAsia" w:hAnsiTheme="majorHAnsi" w:cstheme="majorBidi"/>
      <w:color w:val="272727" w:themeColor="text1" w:themeTint="D8"/>
      <w:kern w:val="20"/>
      <w:sz w:val="21"/>
      <w:szCs w:val="21"/>
      <w14:ligatures w14:val="all"/>
      <w14:stylisticSets>
        <w14:styleSet w14:id="5"/>
      </w14:stylisticSets>
      <w14:cntxtAlts/>
    </w:rPr>
  </w:style>
  <w:style w:type="character" w:customStyle="1" w:styleId="Heading9Char">
    <w:name w:val="Heading 9 Char"/>
    <w:basedOn w:val="DefaultParagraphFont"/>
    <w:link w:val="Heading9"/>
    <w:uiPriority w:val="9"/>
    <w:semiHidden/>
    <w:rsid w:val="005E15C8"/>
    <w:rPr>
      <w:rFonts w:asciiTheme="majorHAnsi" w:eastAsiaTheme="majorEastAsia" w:hAnsiTheme="majorHAnsi" w:cstheme="majorBidi"/>
      <w:i/>
      <w:iCs/>
      <w:color w:val="272727" w:themeColor="text1" w:themeTint="D8"/>
      <w:kern w:val="20"/>
      <w:sz w:val="21"/>
      <w:szCs w:val="21"/>
      <w14:ligatures w14:val="all"/>
      <w14:stylisticSets>
        <w14:styleSet w14:id="5"/>
      </w14:stylisticSets>
      <w14:cntxtAlts/>
    </w:rPr>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uiPriority w:val="99"/>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character" w:customStyle="1" w:styleId="HeaderChar">
    <w:name w:val="Header Char"/>
    <w:basedOn w:val="DefaultParagraphFont"/>
    <w:link w:val="Header"/>
    <w:uiPriority w:val="99"/>
    <w:locked/>
    <w:rsid w:val="005E15C8"/>
    <w:rPr>
      <w:rFonts w:ascii="Arial" w:hAnsi="Arial"/>
      <w:kern w:val="20"/>
      <w:szCs w:val="24"/>
      <w14:ligatures w14:val="all"/>
      <w14:stylisticSets>
        <w14:styleSet w14:id="5"/>
      </w14:stylisticSets>
      <w14:cntxtAlts/>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customStyle="1" w:styleId="FooterChar">
    <w:name w:val="Footer Char"/>
    <w:link w:val="Footer"/>
    <w:uiPriority w:val="99"/>
    <w:rsid w:val="00B312C3"/>
    <w:rPr>
      <w:rFonts w:ascii="Arial" w:hAnsi="Arial"/>
      <w:szCs w:val="24"/>
    </w:rPr>
  </w:style>
  <w:style w:type="character" w:styleId="PageNumber">
    <w:name w:val="page number"/>
    <w:basedOn w:val="DefaultParagraphFont"/>
    <w:uiPriority w:val="99"/>
    <w:rsid w:val="00D476BE"/>
  </w:style>
  <w:style w:type="paragraph" w:customStyle="1" w:styleId="References">
    <w:name w:val="References"/>
    <w:basedOn w:val="Normal"/>
    <w:link w:val="ReferencesChar"/>
    <w:qFormat/>
    <w:rsid w:val="0022187A"/>
    <w:pPr>
      <w:ind w:left="360" w:hanging="360"/>
    </w:pPr>
    <w:rPr>
      <w:sz w:val="20"/>
    </w:rPr>
  </w:style>
  <w:style w:type="character" w:customStyle="1" w:styleId="ReferencesChar">
    <w:name w:val="References Char"/>
    <w:link w:val="References"/>
    <w:locked/>
    <w:rsid w:val="0022187A"/>
    <w:rPr>
      <w:rFonts w:ascii="Garamond" w:hAnsi="Garamond"/>
      <w:kern w:val="20"/>
      <w:szCs w:val="24"/>
      <w14:ligatures w14:val="all"/>
      <w14:stylisticSets>
        <w14:styleSet w14:id="5"/>
      </w14:stylisticSets>
      <w14:cntxtAlts/>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E15C8"/>
    <w:rPr>
      <w:rFonts w:ascii="Tahoma" w:hAnsi="Tahoma" w:cs="Tahoma"/>
      <w:kern w:val="20"/>
      <w:sz w:val="16"/>
      <w:szCs w:val="16"/>
      <w14:ligatures w14:val="all"/>
      <w14:stylisticSets>
        <w14:styleSet w14:id="5"/>
      </w14:stylisticSets>
      <w14:cntxtAlts/>
    </w:rPr>
  </w:style>
  <w:style w:type="character" w:styleId="Strong">
    <w:name w:val="Strong"/>
    <w:basedOn w:val="DefaultParagraphFont"/>
    <w:qFormat/>
    <w:rsid w:val="0022187A"/>
    <w:rPr>
      <w:b/>
      <w:bCs/>
    </w:rPr>
  </w:style>
  <w:style w:type="table" w:styleId="TableGrid">
    <w:name w:val="Table Grid"/>
    <w:basedOn w:val="TableNormal"/>
    <w:uiPriority w:val="9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99"/>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99"/>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22187A"/>
    <w:pPr>
      <w:ind w:left="720"/>
      <w:contextualSpacing/>
    </w:pPr>
  </w:style>
  <w:style w:type="paragraph" w:customStyle="1" w:styleId="PaperInfo">
    <w:name w:val="Paper_Info"/>
    <w:basedOn w:val="Normal"/>
    <w:link w:val="PaperInfoChar"/>
    <w:qFormat/>
    <w:rsid w:val="0022187A"/>
    <w:pPr>
      <w:tabs>
        <w:tab w:val="left" w:pos="2880"/>
      </w:tabs>
      <w:spacing w:after="60"/>
    </w:pPr>
  </w:style>
  <w:style w:type="character" w:customStyle="1" w:styleId="PaperInfoChar">
    <w:name w:val="Paper_Info Char"/>
    <w:basedOn w:val="DefaultParagraphFont"/>
    <w:link w:val="PaperInfo"/>
    <w:rsid w:val="0022187A"/>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22187A"/>
    <w:pPr>
      <w:spacing w:after="0"/>
    </w:pPr>
    <w:rPr>
      <w:color w:val="595959" w:themeColor="text1" w:themeTint="A6"/>
      <w:sz w:val="36"/>
    </w:rPr>
  </w:style>
  <w:style w:type="character" w:customStyle="1" w:styleId="AbstractChar">
    <w:name w:val="Abstract Char"/>
    <w:basedOn w:val="Heading1Char"/>
    <w:link w:val="Abstract"/>
    <w:rsid w:val="0022187A"/>
    <w:rPr>
      <w:rFonts w:ascii="Garamond" w:hAnsi="Garamond" w:cs="Arial"/>
      <w:b/>
      <w:bCs/>
      <w:smallCaps/>
      <w:color w:val="595959" w:themeColor="text1" w:themeTint="A6"/>
      <w:kern w:val="32"/>
      <w:sz w:val="36"/>
      <w:szCs w:val="36"/>
      <w14:ligatures w14:val="all"/>
      <w14:stylisticSets>
        <w14:styleSet w14:id="5"/>
      </w14:stylisticSets>
      <w14:cntxtAlts/>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22187A"/>
    <w:pPr>
      <w:jc w:val="center"/>
    </w:pPr>
    <w:rPr>
      <w:sz w:val="36"/>
    </w:rPr>
  </w:style>
  <w:style w:type="character" w:customStyle="1" w:styleId="PaperTitleChar">
    <w:name w:val="Paper Title Char"/>
    <w:basedOn w:val="Heading1Char"/>
    <w:link w:val="PaperTitle"/>
    <w:rsid w:val="0022187A"/>
    <w:rPr>
      <w:rFonts w:ascii="Garamond" w:hAnsi="Garamond" w:cs="Arial"/>
      <w:b/>
      <w:bCs/>
      <w:smallCaps/>
      <w:kern w:val="32"/>
      <w:sz w:val="36"/>
      <w:szCs w:val="36"/>
      <w14:ligatures w14:val="all"/>
      <w14:stylisticSets>
        <w14:styleSet w14:id="5"/>
      </w14:stylisticSets>
      <w14:cntxtAlts/>
    </w:rPr>
  </w:style>
  <w:style w:type="character" w:customStyle="1" w:styleId="rwrro">
    <w:name w:val="rwrro"/>
    <w:basedOn w:val="DefaultParagraphFont"/>
    <w:rsid w:val="00C5575B"/>
  </w:style>
  <w:style w:type="character" w:customStyle="1" w:styleId="UnresolvedMention1">
    <w:name w:val="Unresolved Mention1"/>
    <w:basedOn w:val="DefaultParagraphFont"/>
    <w:uiPriority w:val="99"/>
    <w:semiHidden/>
    <w:unhideWhenUsed/>
    <w:rsid w:val="00C5575B"/>
    <w:rPr>
      <w:color w:val="808080"/>
      <w:shd w:val="clear" w:color="auto" w:fill="E6E6E6"/>
    </w:rPr>
  </w:style>
  <w:style w:type="paragraph" w:styleId="NormalWeb">
    <w:name w:val="Normal (Web)"/>
    <w:basedOn w:val="Normal"/>
    <w:uiPriority w:val="99"/>
    <w:rsid w:val="005E15C8"/>
    <w:pPr>
      <w:spacing w:before="100" w:beforeAutospacing="1" w:after="100" w:afterAutospacing="1"/>
    </w:pPr>
    <w:rPr>
      <w:rFonts w:ascii="Times New Roman" w:eastAsia="SimSun" w:hAnsi="Times New Roman"/>
      <w:kern w:val="0"/>
      <w:sz w:val="24"/>
      <w:lang w:val="en-AU" w:eastAsia="en-AU" w:bidi="he-IL"/>
      <w14:ligatures w14:val="none"/>
      <w14:stylisticSets/>
      <w14:cntxtAlts w14:val="0"/>
    </w:rPr>
  </w:style>
  <w:style w:type="paragraph" w:customStyle="1" w:styleId="authors">
    <w:name w:val="authors"/>
    <w:basedOn w:val="Normal"/>
    <w:uiPriority w:val="99"/>
    <w:rsid w:val="005E15C8"/>
    <w:pPr>
      <w:spacing w:before="100" w:beforeAutospacing="1" w:after="100" w:afterAutospacing="1"/>
    </w:pPr>
    <w:rPr>
      <w:rFonts w:ascii="Times New Roman" w:eastAsia="SimSun" w:hAnsi="Times New Roman"/>
      <w:kern w:val="0"/>
      <w:sz w:val="24"/>
      <w:lang w:val="en-AU" w:eastAsia="en-AU" w:bidi="he-IL"/>
      <w14:ligatures w14:val="none"/>
      <w14:stylisticSets/>
      <w14:cntxtAlts w14:val="0"/>
    </w:rPr>
  </w:style>
  <w:style w:type="paragraph" w:customStyle="1" w:styleId="Default">
    <w:name w:val="Default"/>
    <w:rsid w:val="005E15C8"/>
    <w:pPr>
      <w:autoSpaceDE w:val="0"/>
      <w:autoSpaceDN w:val="0"/>
      <w:adjustRightInd w:val="0"/>
    </w:pPr>
    <w:rPr>
      <w:rFonts w:ascii="Calibri" w:eastAsia="SimSun" w:hAnsi="Calibri" w:cs="Calibri"/>
      <w:color w:val="000000"/>
      <w:sz w:val="24"/>
      <w:szCs w:val="24"/>
      <w:lang w:val="en-AU" w:eastAsia="en-AU" w:bidi="he-IL"/>
    </w:rPr>
  </w:style>
  <w:style w:type="paragraph" w:styleId="BodyText2">
    <w:name w:val="Body Text 2"/>
    <w:basedOn w:val="Normal"/>
    <w:link w:val="BodyText2Char"/>
    <w:uiPriority w:val="99"/>
    <w:rsid w:val="005E15C8"/>
    <w:pPr>
      <w:spacing w:after="0" w:line="360" w:lineRule="auto"/>
      <w:jc w:val="both"/>
    </w:pPr>
    <w:rPr>
      <w:rFonts w:ascii="Times New Roman" w:eastAsia="SimSun" w:hAnsi="Times New Roman"/>
      <w:kern w:val="0"/>
      <w:sz w:val="24"/>
      <w:lang w:val="en-AU"/>
      <w14:ligatures w14:val="none"/>
      <w14:stylisticSets/>
      <w14:cntxtAlts w14:val="0"/>
    </w:rPr>
  </w:style>
  <w:style w:type="character" w:customStyle="1" w:styleId="BodyText2Char">
    <w:name w:val="Body Text 2 Char"/>
    <w:basedOn w:val="DefaultParagraphFont"/>
    <w:link w:val="BodyText2"/>
    <w:uiPriority w:val="99"/>
    <w:rsid w:val="005E15C8"/>
    <w:rPr>
      <w:rFonts w:eastAsia="SimSun"/>
      <w:sz w:val="24"/>
      <w:szCs w:val="24"/>
      <w:lang w:val="en-AU"/>
    </w:rPr>
  </w:style>
  <w:style w:type="paragraph" w:customStyle="1" w:styleId="FigureText">
    <w:name w:val="Figure Text"/>
    <w:basedOn w:val="Normal"/>
    <w:next w:val="Normal"/>
    <w:uiPriority w:val="99"/>
    <w:rsid w:val="005E15C8"/>
    <w:pPr>
      <w:autoSpaceDE w:val="0"/>
      <w:autoSpaceDN w:val="0"/>
      <w:adjustRightInd w:val="0"/>
      <w:spacing w:after="0"/>
      <w:jc w:val="both"/>
    </w:pPr>
    <w:rPr>
      <w:rFonts w:ascii="Arial" w:eastAsia="MS Mincho" w:hAnsi="Arial" w:cs="Arial"/>
      <w:i/>
      <w:iCs/>
      <w:kern w:val="0"/>
      <w:szCs w:val="22"/>
      <w:lang w:val="en-AU" w:eastAsia="ja-JP" w:bidi="he-IL"/>
      <w14:ligatures w14:val="none"/>
      <w14:stylisticSets/>
      <w14:cntxtAlts w14:val="0"/>
    </w:rPr>
  </w:style>
  <w:style w:type="character" w:customStyle="1" w:styleId="z-TopofFormChar">
    <w:name w:val="z-Top of Form Char"/>
    <w:basedOn w:val="DefaultParagraphFont"/>
    <w:link w:val="z-TopofForm"/>
    <w:uiPriority w:val="99"/>
    <w:semiHidden/>
    <w:rsid w:val="005E15C8"/>
    <w:rPr>
      <w:rFonts w:eastAsia="SimSun"/>
      <w:sz w:val="24"/>
    </w:rPr>
  </w:style>
  <w:style w:type="paragraph" w:styleId="z-TopofForm">
    <w:name w:val="HTML Top of Form"/>
    <w:basedOn w:val="Normal"/>
    <w:link w:val="z-TopofFormChar"/>
    <w:uiPriority w:val="99"/>
    <w:semiHidden/>
    <w:rsid w:val="005E15C8"/>
    <w:pPr>
      <w:spacing w:after="0"/>
    </w:pPr>
    <w:rPr>
      <w:rFonts w:ascii="Times New Roman" w:eastAsia="SimSun" w:hAnsi="Times New Roman"/>
      <w:kern w:val="0"/>
      <w:sz w:val="24"/>
      <w:szCs w:val="20"/>
      <w14:ligatures w14:val="none"/>
      <w14:stylisticSets/>
      <w14:cntxtAlts w14:val="0"/>
    </w:rPr>
  </w:style>
  <w:style w:type="character" w:styleId="Emphasis">
    <w:name w:val="Emphasis"/>
    <w:basedOn w:val="DefaultParagraphFont"/>
    <w:uiPriority w:val="20"/>
    <w:qFormat/>
    <w:rsid w:val="005E15C8"/>
    <w:rPr>
      <w:i/>
      <w:iCs/>
    </w:rPr>
  </w:style>
  <w:style w:type="paragraph" w:styleId="BodyText">
    <w:name w:val="Body Text"/>
    <w:basedOn w:val="Normal"/>
    <w:link w:val="BodyTextChar"/>
    <w:uiPriority w:val="99"/>
    <w:rsid w:val="005E15C8"/>
    <w:pPr>
      <w:spacing w:line="276" w:lineRule="auto"/>
    </w:pPr>
    <w:rPr>
      <w:rFonts w:ascii="Calibri" w:eastAsia="SimSun" w:hAnsi="Calibri"/>
      <w:kern w:val="0"/>
      <w:szCs w:val="22"/>
      <w:lang w:val="en-AU" w:eastAsia="en-AU"/>
      <w14:ligatures w14:val="none"/>
      <w14:stylisticSets/>
      <w14:cntxtAlts w14:val="0"/>
    </w:rPr>
  </w:style>
  <w:style w:type="character" w:customStyle="1" w:styleId="BodyTextChar">
    <w:name w:val="Body Text Char"/>
    <w:basedOn w:val="DefaultParagraphFont"/>
    <w:link w:val="BodyText"/>
    <w:uiPriority w:val="99"/>
    <w:rsid w:val="005E15C8"/>
    <w:rPr>
      <w:rFonts w:ascii="Calibri" w:eastAsia="SimSun" w:hAnsi="Calibri"/>
      <w:sz w:val="22"/>
      <w:szCs w:val="22"/>
      <w:lang w:val="en-AU" w:eastAsia="en-AU"/>
    </w:rPr>
  </w:style>
  <w:style w:type="paragraph" w:styleId="BodyText3">
    <w:name w:val="Body Text 3"/>
    <w:basedOn w:val="Normal"/>
    <w:link w:val="BodyText3Char"/>
    <w:uiPriority w:val="99"/>
    <w:rsid w:val="005E15C8"/>
    <w:pPr>
      <w:spacing w:line="276" w:lineRule="auto"/>
    </w:pPr>
    <w:rPr>
      <w:rFonts w:ascii="Calibri" w:eastAsia="SimSun" w:hAnsi="Calibri"/>
      <w:kern w:val="0"/>
      <w:sz w:val="16"/>
      <w:szCs w:val="16"/>
      <w:lang w:val="en-AU" w:eastAsia="en-AU"/>
      <w14:ligatures w14:val="none"/>
      <w14:stylisticSets/>
      <w14:cntxtAlts w14:val="0"/>
    </w:rPr>
  </w:style>
  <w:style w:type="character" w:customStyle="1" w:styleId="BodyText3Char">
    <w:name w:val="Body Text 3 Char"/>
    <w:basedOn w:val="DefaultParagraphFont"/>
    <w:link w:val="BodyText3"/>
    <w:uiPriority w:val="99"/>
    <w:rsid w:val="005E15C8"/>
    <w:rPr>
      <w:rFonts w:ascii="Calibri" w:eastAsia="SimSun" w:hAnsi="Calibri"/>
      <w:sz w:val="16"/>
      <w:szCs w:val="16"/>
      <w:lang w:val="en-AU" w:eastAsia="en-AU"/>
    </w:rPr>
  </w:style>
  <w:style w:type="paragraph" w:styleId="BodyTextIndent2">
    <w:name w:val="Body Text Indent 2"/>
    <w:basedOn w:val="Normal"/>
    <w:link w:val="BodyTextIndent2Char"/>
    <w:uiPriority w:val="99"/>
    <w:rsid w:val="005E15C8"/>
    <w:pPr>
      <w:tabs>
        <w:tab w:val="left" w:pos="850"/>
        <w:tab w:val="left" w:pos="1701"/>
        <w:tab w:val="left" w:pos="4252"/>
      </w:tabs>
      <w:spacing w:after="0" w:line="400" w:lineRule="atLeast"/>
      <w:ind w:firstLine="567"/>
      <w:jc w:val="both"/>
    </w:pPr>
    <w:rPr>
      <w:rFonts w:ascii="Times New Roman" w:eastAsia="SimSun" w:hAnsi="Times New Roman"/>
      <w:kern w:val="0"/>
      <w:sz w:val="24"/>
      <w:szCs w:val="20"/>
      <w:lang w:val="en-AU"/>
      <w14:ligatures w14:val="none"/>
      <w14:stylisticSets/>
      <w14:cntxtAlts w14:val="0"/>
    </w:rPr>
  </w:style>
  <w:style w:type="character" w:customStyle="1" w:styleId="BodyTextIndent2Char">
    <w:name w:val="Body Text Indent 2 Char"/>
    <w:basedOn w:val="DefaultParagraphFont"/>
    <w:link w:val="BodyTextIndent2"/>
    <w:uiPriority w:val="99"/>
    <w:rsid w:val="005E15C8"/>
    <w:rPr>
      <w:rFonts w:eastAsia="SimSun"/>
      <w:sz w:val="24"/>
      <w:lang w:val="en-AU"/>
    </w:rPr>
  </w:style>
  <w:style w:type="paragraph" w:styleId="PlainText">
    <w:name w:val="Plain Text"/>
    <w:basedOn w:val="Normal"/>
    <w:link w:val="PlainTextChar"/>
    <w:uiPriority w:val="99"/>
    <w:rsid w:val="005E15C8"/>
    <w:pPr>
      <w:spacing w:after="0"/>
    </w:pPr>
    <w:rPr>
      <w:rFonts w:ascii="Courier New" w:eastAsia="SimSun" w:hAnsi="Courier New"/>
      <w:kern w:val="0"/>
      <w:sz w:val="20"/>
      <w:szCs w:val="20"/>
      <w:lang w:val="en-AU"/>
      <w14:ligatures w14:val="none"/>
      <w14:stylisticSets/>
      <w14:cntxtAlts w14:val="0"/>
    </w:rPr>
  </w:style>
  <w:style w:type="character" w:customStyle="1" w:styleId="PlainTextChar">
    <w:name w:val="Plain Text Char"/>
    <w:basedOn w:val="DefaultParagraphFont"/>
    <w:link w:val="PlainText"/>
    <w:uiPriority w:val="99"/>
    <w:rsid w:val="005E15C8"/>
    <w:rPr>
      <w:rFonts w:ascii="Courier New" w:eastAsia="SimSun" w:hAnsi="Courier New"/>
      <w:lang w:val="en-AU"/>
    </w:rPr>
  </w:style>
  <w:style w:type="paragraph" w:styleId="BodyTextIndent">
    <w:name w:val="Body Text Indent"/>
    <w:basedOn w:val="Normal"/>
    <w:link w:val="BodyTextIndentChar"/>
    <w:uiPriority w:val="99"/>
    <w:rsid w:val="005E15C8"/>
    <w:pPr>
      <w:tabs>
        <w:tab w:val="left" w:pos="0"/>
        <w:tab w:val="left" w:pos="3580"/>
        <w:tab w:val="left" w:pos="6460"/>
      </w:tabs>
      <w:spacing w:after="0"/>
      <w:ind w:hanging="20"/>
      <w:jc w:val="both"/>
    </w:pPr>
    <w:rPr>
      <w:rFonts w:ascii="Times New Roman" w:eastAsia="SimSun" w:hAnsi="Times New Roman"/>
      <w:kern w:val="0"/>
      <w:sz w:val="24"/>
      <w:szCs w:val="20"/>
      <w14:ligatures w14:val="none"/>
      <w14:stylisticSets/>
      <w14:cntxtAlts w14:val="0"/>
    </w:rPr>
  </w:style>
  <w:style w:type="character" w:customStyle="1" w:styleId="BodyTextIndentChar">
    <w:name w:val="Body Text Indent Char"/>
    <w:basedOn w:val="DefaultParagraphFont"/>
    <w:link w:val="BodyTextIndent"/>
    <w:uiPriority w:val="99"/>
    <w:rsid w:val="005E15C8"/>
    <w:rPr>
      <w:rFonts w:eastAsia="SimSun"/>
      <w:sz w:val="24"/>
    </w:rPr>
  </w:style>
  <w:style w:type="paragraph" w:styleId="BodyTextIndent3">
    <w:name w:val="Body Text Indent 3"/>
    <w:basedOn w:val="Normal"/>
    <w:link w:val="BodyTextIndent3Char"/>
    <w:uiPriority w:val="99"/>
    <w:rsid w:val="005E15C8"/>
    <w:pPr>
      <w:tabs>
        <w:tab w:val="left" w:pos="340"/>
        <w:tab w:val="left" w:pos="1120"/>
        <w:tab w:val="left" w:pos="5340"/>
      </w:tabs>
      <w:spacing w:after="0"/>
      <w:ind w:left="340" w:hanging="340"/>
      <w:jc w:val="both"/>
    </w:pPr>
    <w:rPr>
      <w:rFonts w:ascii="Times New Roman" w:eastAsia="SimSun" w:hAnsi="Times New Roman"/>
      <w:kern w:val="0"/>
      <w:sz w:val="24"/>
      <w:szCs w:val="20"/>
      <w14:ligatures w14:val="none"/>
      <w14:stylisticSets/>
      <w14:cntxtAlts w14:val="0"/>
    </w:rPr>
  </w:style>
  <w:style w:type="character" w:customStyle="1" w:styleId="BodyTextIndent3Char">
    <w:name w:val="Body Text Indent 3 Char"/>
    <w:basedOn w:val="DefaultParagraphFont"/>
    <w:link w:val="BodyTextIndent3"/>
    <w:uiPriority w:val="99"/>
    <w:rsid w:val="005E15C8"/>
    <w:rPr>
      <w:rFonts w:eastAsia="SimSun"/>
      <w:sz w:val="24"/>
    </w:rPr>
  </w:style>
  <w:style w:type="character" w:customStyle="1" w:styleId="bodyat121">
    <w:name w:val="body_at_121"/>
    <w:basedOn w:val="DefaultParagraphFont"/>
    <w:uiPriority w:val="99"/>
    <w:rsid w:val="005E15C8"/>
    <w:rPr>
      <w:rFonts w:ascii="Arial" w:hAnsi="Arial" w:cs="Arial"/>
      <w:color w:val="000000"/>
      <w:sz w:val="24"/>
      <w:szCs w:val="24"/>
    </w:rPr>
  </w:style>
  <w:style w:type="paragraph" w:styleId="CommentText">
    <w:name w:val="annotation text"/>
    <w:basedOn w:val="Normal"/>
    <w:link w:val="CommentTextChar"/>
    <w:uiPriority w:val="99"/>
    <w:rsid w:val="005E15C8"/>
    <w:pPr>
      <w:spacing w:after="200"/>
    </w:pPr>
    <w:rPr>
      <w:rFonts w:ascii="Calibri" w:eastAsia="SimSun" w:hAnsi="Calibri"/>
      <w:kern w:val="0"/>
      <w:sz w:val="20"/>
      <w:szCs w:val="20"/>
      <w:lang w:val="en-AU" w:eastAsia="en-AU"/>
      <w14:ligatures w14:val="none"/>
      <w14:stylisticSets/>
      <w14:cntxtAlts w14:val="0"/>
    </w:rPr>
  </w:style>
  <w:style w:type="character" w:customStyle="1" w:styleId="CommentTextChar">
    <w:name w:val="Comment Text Char"/>
    <w:basedOn w:val="DefaultParagraphFont"/>
    <w:link w:val="CommentText"/>
    <w:uiPriority w:val="99"/>
    <w:rsid w:val="005E15C8"/>
    <w:rPr>
      <w:rFonts w:ascii="Calibri" w:eastAsia="SimSun" w:hAnsi="Calibri"/>
      <w:lang w:val="en-AU" w:eastAsia="en-AU"/>
    </w:rPr>
  </w:style>
  <w:style w:type="character" w:customStyle="1" w:styleId="CommentSubjectChar">
    <w:name w:val="Comment Subject Char"/>
    <w:basedOn w:val="CommentTextChar"/>
    <w:link w:val="CommentSubject"/>
    <w:uiPriority w:val="99"/>
    <w:semiHidden/>
    <w:rsid w:val="005E15C8"/>
    <w:rPr>
      <w:rFonts w:ascii="Calibri" w:eastAsia="SimSun" w:hAnsi="Calibri"/>
      <w:b/>
      <w:bCs/>
      <w:lang w:val="en-AU" w:eastAsia="en-AU"/>
    </w:rPr>
  </w:style>
  <w:style w:type="paragraph" w:styleId="CommentSubject">
    <w:name w:val="annotation subject"/>
    <w:basedOn w:val="CommentText"/>
    <w:next w:val="CommentText"/>
    <w:link w:val="CommentSubjectChar"/>
    <w:uiPriority w:val="99"/>
    <w:semiHidden/>
    <w:rsid w:val="005E15C8"/>
    <w:rPr>
      <w:b/>
      <w:bCs/>
    </w:rPr>
  </w:style>
  <w:style w:type="character" w:customStyle="1" w:styleId="hw1">
    <w:name w:val="hw1"/>
    <w:basedOn w:val="DefaultParagraphFont"/>
    <w:uiPriority w:val="99"/>
    <w:rsid w:val="005E15C8"/>
    <w:rPr>
      <w:rFonts w:cs="Times New Roman"/>
      <w:b/>
      <w:bCs/>
      <w:sz w:val="29"/>
      <w:szCs w:val="29"/>
    </w:rPr>
  </w:style>
  <w:style w:type="character" w:customStyle="1" w:styleId="ssens">
    <w:name w:val="ssens"/>
    <w:basedOn w:val="DefaultParagraphFont"/>
    <w:uiPriority w:val="99"/>
    <w:rsid w:val="005E15C8"/>
    <w:rPr>
      <w:rFonts w:cs="Times New Roman"/>
    </w:rPr>
  </w:style>
  <w:style w:type="character" w:customStyle="1" w:styleId="a1">
    <w:name w:val="a1"/>
    <w:basedOn w:val="DefaultParagraphFont"/>
    <w:uiPriority w:val="99"/>
    <w:rsid w:val="005E15C8"/>
    <w:rPr>
      <w:rFonts w:ascii="Times New Roman" w:hAnsi="Times New Roman" w:cs="Times New Roman"/>
      <w:bdr w:val="none" w:sz="0" w:space="0" w:color="auto" w:frame="1"/>
    </w:rPr>
  </w:style>
  <w:style w:type="character" w:customStyle="1" w:styleId="l62">
    <w:name w:val="l62"/>
    <w:basedOn w:val="DefaultParagraphFont"/>
    <w:uiPriority w:val="99"/>
    <w:rsid w:val="005E15C8"/>
    <w:rPr>
      <w:rFonts w:ascii="Times New Roman" w:hAnsi="Times New Roman" w:cs="Times New Roman"/>
      <w:bdr w:val="none" w:sz="0" w:space="0" w:color="auto" w:frame="1"/>
    </w:rPr>
  </w:style>
  <w:style w:type="character" w:customStyle="1" w:styleId="l72">
    <w:name w:val="l72"/>
    <w:basedOn w:val="DefaultParagraphFont"/>
    <w:uiPriority w:val="99"/>
    <w:rsid w:val="005E15C8"/>
    <w:rPr>
      <w:rFonts w:ascii="Times New Roman" w:hAnsi="Times New Roman" w:cs="Times New Roman"/>
      <w:bdr w:val="none" w:sz="0" w:space="0" w:color="auto" w:frame="1"/>
    </w:rPr>
  </w:style>
  <w:style w:type="paragraph" w:customStyle="1" w:styleId="GBBody">
    <w:name w:val="GB Body"/>
    <w:basedOn w:val="Normal"/>
    <w:link w:val="GBBodyChar"/>
    <w:uiPriority w:val="99"/>
    <w:rsid w:val="005E15C8"/>
    <w:pPr>
      <w:spacing w:after="0"/>
      <w:jc w:val="both"/>
    </w:pPr>
    <w:rPr>
      <w:rFonts w:ascii="Gill Sans MT" w:eastAsia="SimSun" w:hAnsi="Gill Sans MT"/>
      <w:color w:val="000000"/>
      <w:kern w:val="0"/>
      <w:sz w:val="24"/>
      <w:szCs w:val="20"/>
      <w:lang w:val="en-AU" w:eastAsia="en-AU"/>
      <w14:ligatures w14:val="none"/>
      <w14:stylisticSets/>
      <w14:cntxtAlts w14:val="0"/>
    </w:rPr>
  </w:style>
  <w:style w:type="character" w:customStyle="1" w:styleId="GBBodyChar">
    <w:name w:val="GB Body Char"/>
    <w:link w:val="GBBody"/>
    <w:uiPriority w:val="99"/>
    <w:locked/>
    <w:rsid w:val="005E15C8"/>
    <w:rPr>
      <w:rFonts w:ascii="Gill Sans MT" w:eastAsia="SimSun" w:hAnsi="Gill Sans MT"/>
      <w:color w:val="000000"/>
      <w:sz w:val="24"/>
      <w:lang w:val="en-AU" w:eastAsia="en-AU"/>
    </w:rPr>
  </w:style>
  <w:style w:type="character" w:customStyle="1" w:styleId="reference-text">
    <w:name w:val="reference-text"/>
    <w:basedOn w:val="DefaultParagraphFont"/>
    <w:uiPriority w:val="99"/>
    <w:rsid w:val="005E15C8"/>
    <w:rPr>
      <w:rFonts w:cs="Times New Roman"/>
    </w:rPr>
  </w:style>
  <w:style w:type="character" w:customStyle="1" w:styleId="citationbook">
    <w:name w:val="citation book"/>
    <w:basedOn w:val="DefaultParagraphFont"/>
    <w:uiPriority w:val="99"/>
    <w:rsid w:val="005E15C8"/>
    <w:rPr>
      <w:rFonts w:cs="Times New Roman"/>
    </w:rPr>
  </w:style>
  <w:style w:type="character" w:customStyle="1" w:styleId="addmd1">
    <w:name w:val="addmd1"/>
    <w:basedOn w:val="DefaultParagraphFont"/>
    <w:rsid w:val="005E15C8"/>
    <w:rPr>
      <w:sz w:val="20"/>
      <w:szCs w:val="20"/>
    </w:rPr>
  </w:style>
  <w:style w:type="character" w:customStyle="1" w:styleId="articlealttitle1">
    <w:name w:val="articlealttitle1"/>
    <w:basedOn w:val="DefaultParagraphFont"/>
    <w:rsid w:val="005E15C8"/>
    <w:rPr>
      <w:sz w:val="24"/>
      <w:szCs w:val="24"/>
      <w:bdr w:val="none" w:sz="0" w:space="0" w:color="auto" w:frame="1"/>
      <w:vertAlign w:val="baseline"/>
    </w:rPr>
  </w:style>
  <w:style w:type="character" w:customStyle="1" w:styleId="product-field-display">
    <w:name w:val="product-field-display"/>
    <w:basedOn w:val="DefaultParagraphFont"/>
    <w:rsid w:val="005E15C8"/>
  </w:style>
  <w:style w:type="paragraph" w:customStyle="1" w:styleId="product-subtitle1">
    <w:name w:val="product-subtitle1"/>
    <w:basedOn w:val="Normal"/>
    <w:rsid w:val="005E15C8"/>
    <w:rPr>
      <w:rFonts w:ascii="Times New Roman" w:hAnsi="Times New Roman"/>
      <w:color w:val="000000"/>
      <w:kern w:val="0"/>
      <w:sz w:val="27"/>
      <w:szCs w:val="27"/>
      <w:lang w:val="en-AU" w:eastAsia="en-AU"/>
      <w14:ligatures w14:val="none"/>
      <w14:stylisticSets/>
      <w14:cntxtAlts w14:val="0"/>
    </w:rPr>
  </w:style>
  <w:style w:type="character" w:customStyle="1" w:styleId="a">
    <w:name w:val="_"/>
    <w:basedOn w:val="DefaultParagraphFont"/>
    <w:rsid w:val="005E15C8"/>
  </w:style>
  <w:style w:type="character" w:customStyle="1" w:styleId="ff3">
    <w:name w:val="ff3"/>
    <w:basedOn w:val="DefaultParagraphFont"/>
    <w:rsid w:val="005E15C8"/>
  </w:style>
  <w:style w:type="character" w:customStyle="1" w:styleId="ls21">
    <w:name w:val="ls21"/>
    <w:basedOn w:val="DefaultParagraphFont"/>
    <w:rsid w:val="005E15C8"/>
  </w:style>
  <w:style w:type="character" w:customStyle="1" w:styleId="fs1">
    <w:name w:val="fs1"/>
    <w:basedOn w:val="DefaultParagraphFont"/>
    <w:rsid w:val="005E15C8"/>
  </w:style>
  <w:style w:type="character" w:customStyle="1" w:styleId="ff4">
    <w:name w:val="ff4"/>
    <w:basedOn w:val="DefaultParagraphFont"/>
    <w:rsid w:val="005E15C8"/>
  </w:style>
  <w:style w:type="character" w:customStyle="1" w:styleId="ff5">
    <w:name w:val="ff5"/>
    <w:basedOn w:val="DefaultParagraphFont"/>
    <w:rsid w:val="005E15C8"/>
  </w:style>
  <w:style w:type="paragraph" w:customStyle="1" w:styleId="Pa0">
    <w:name w:val="Pa0"/>
    <w:basedOn w:val="Default"/>
    <w:next w:val="Default"/>
    <w:uiPriority w:val="99"/>
    <w:rsid w:val="005E15C8"/>
    <w:pPr>
      <w:spacing w:line="241" w:lineRule="atLeast"/>
    </w:pPr>
    <w:rPr>
      <w:rFonts w:ascii="HelveticaNeueLT Std Thin" w:hAnsi="HelveticaNeueLT Std Thin" w:cs="Times New Roman"/>
      <w:color w:val="auto"/>
      <w:lang w:bidi="ar-SA"/>
    </w:rPr>
  </w:style>
  <w:style w:type="character" w:customStyle="1" w:styleId="A2">
    <w:name w:val="A2"/>
    <w:uiPriority w:val="99"/>
    <w:rsid w:val="005E15C8"/>
    <w:rPr>
      <w:rFonts w:cs="HelveticaNeueLT Std Thin"/>
      <w:color w:val="FFFFFF"/>
      <w:sz w:val="127"/>
      <w:szCs w:val="127"/>
    </w:rPr>
  </w:style>
  <w:style w:type="character" w:customStyle="1" w:styleId="A3">
    <w:name w:val="A3"/>
    <w:uiPriority w:val="99"/>
    <w:rsid w:val="005E15C8"/>
    <w:rPr>
      <w:rFonts w:ascii="HelveticaNeueLT Std Lt" w:hAnsi="HelveticaNeueLT Std Lt" w:cs="HelveticaNeueLT Std Lt"/>
      <w:color w:val="FFFFFF"/>
      <w:sz w:val="36"/>
      <w:szCs w:val="36"/>
    </w:rPr>
  </w:style>
  <w:style w:type="character" w:customStyle="1" w:styleId="slug-pub-date3">
    <w:name w:val="slug-pub-date3"/>
    <w:basedOn w:val="DefaultParagraphFont"/>
    <w:rsid w:val="005E15C8"/>
    <w:rPr>
      <w:b/>
      <w:bCs/>
    </w:rPr>
  </w:style>
  <w:style w:type="character" w:customStyle="1" w:styleId="slug-vol">
    <w:name w:val="slug-vol"/>
    <w:basedOn w:val="DefaultParagraphFont"/>
    <w:rsid w:val="005E15C8"/>
  </w:style>
  <w:style w:type="character" w:customStyle="1" w:styleId="slug-issue">
    <w:name w:val="slug-issue"/>
    <w:basedOn w:val="DefaultParagraphFont"/>
    <w:rsid w:val="005E15C8"/>
  </w:style>
  <w:style w:type="character" w:customStyle="1" w:styleId="slug-pages3">
    <w:name w:val="slug-pages3"/>
    <w:basedOn w:val="DefaultParagraphFont"/>
    <w:rsid w:val="005E15C8"/>
    <w:rPr>
      <w:b/>
      <w:bCs/>
    </w:rPr>
  </w:style>
  <w:style w:type="character" w:customStyle="1" w:styleId="fn">
    <w:name w:val="fn"/>
    <w:basedOn w:val="DefaultParagraphFont"/>
    <w:rsid w:val="005E15C8"/>
  </w:style>
  <w:style w:type="character" w:customStyle="1" w:styleId="comma">
    <w:name w:val="comma"/>
    <w:basedOn w:val="DefaultParagraphFont"/>
    <w:rsid w:val="005E15C8"/>
  </w:style>
  <w:style w:type="character" w:customStyle="1" w:styleId="ng-isolate-scope">
    <w:name w:val="ng-isolate-scope"/>
    <w:basedOn w:val="DefaultParagraphFont"/>
    <w:rsid w:val="005E15C8"/>
  </w:style>
  <w:style w:type="character" w:customStyle="1" w:styleId="ng-binding">
    <w:name w:val="ng-binding"/>
    <w:basedOn w:val="DefaultParagraphFont"/>
    <w:rsid w:val="005E15C8"/>
  </w:style>
  <w:style w:type="character" w:customStyle="1" w:styleId="ng-scope">
    <w:name w:val="ng-scope"/>
    <w:basedOn w:val="DefaultParagraphFont"/>
    <w:rsid w:val="005E15C8"/>
  </w:style>
  <w:style w:type="character" w:customStyle="1" w:styleId="current-selection">
    <w:name w:val="current-selection"/>
    <w:basedOn w:val="DefaultParagraphFont"/>
    <w:rsid w:val="005E15C8"/>
  </w:style>
  <w:style w:type="character" w:customStyle="1" w:styleId="hlfld-contribauthor2">
    <w:name w:val="hlfld-contribauthor2"/>
    <w:basedOn w:val="DefaultParagraphFont"/>
    <w:rsid w:val="005E15C8"/>
  </w:style>
  <w:style w:type="character" w:customStyle="1" w:styleId="hlfld-title2">
    <w:name w:val="hlfld-title2"/>
    <w:basedOn w:val="DefaultParagraphFont"/>
    <w:rsid w:val="005E15C8"/>
  </w:style>
  <w:style w:type="character" w:customStyle="1" w:styleId="ws2">
    <w:name w:val="ws2"/>
    <w:basedOn w:val="DefaultParagraphFont"/>
    <w:rsid w:val="005E15C8"/>
  </w:style>
  <w:style w:type="character" w:customStyle="1" w:styleId="enhanced-author">
    <w:name w:val="enhanced-author"/>
    <w:basedOn w:val="DefaultParagraphFont"/>
    <w:rsid w:val="005E15C8"/>
  </w:style>
  <w:style w:type="paragraph" w:styleId="NoSpacing">
    <w:name w:val="No Spacing"/>
    <w:uiPriority w:val="1"/>
    <w:qFormat/>
    <w:rsid w:val="005E15C8"/>
    <w:rPr>
      <w:rFonts w:ascii="Garamond" w:eastAsia="SimSun" w:hAnsi="Garamond"/>
      <w:kern w:val="20"/>
      <w:sz w:val="22"/>
      <w:szCs w:val="24"/>
      <w14:ligatures w14:val="all"/>
      <w14:stylisticSets>
        <w14:styleSet w14:id="5"/>
      </w14:stylisticSets>
      <w14:cntxtAlts/>
    </w:rPr>
  </w:style>
  <w:style w:type="character" w:customStyle="1" w:styleId="EndNoteBibliographyChar">
    <w:name w:val="EndNote Bibliography Char"/>
    <w:basedOn w:val="DefaultParagraphFont"/>
    <w:link w:val="EndNoteBibliography"/>
    <w:locked/>
    <w:rsid w:val="005E15C8"/>
    <w:rPr>
      <w:noProof/>
      <w:sz w:val="24"/>
    </w:rPr>
  </w:style>
  <w:style w:type="paragraph" w:customStyle="1" w:styleId="EndNoteBibliography">
    <w:name w:val="EndNote Bibliography"/>
    <w:basedOn w:val="Normal"/>
    <w:link w:val="EndNoteBibliographyChar"/>
    <w:rsid w:val="005E15C8"/>
    <w:pPr>
      <w:jc w:val="both"/>
    </w:pPr>
    <w:rPr>
      <w:rFonts w:ascii="Times New Roman" w:hAnsi="Times New Roman"/>
      <w:noProof/>
      <w:kern w:val="0"/>
      <w:sz w:val="24"/>
      <w:szCs w:val="20"/>
      <w14:ligatures w14:val="none"/>
      <w14:stylisticSets/>
      <w14:cntxtAlts w14:val="0"/>
    </w:rPr>
  </w:style>
  <w:style w:type="character" w:customStyle="1" w:styleId="st1">
    <w:name w:val="st1"/>
    <w:basedOn w:val="DefaultParagraphFont"/>
    <w:rsid w:val="005E15C8"/>
  </w:style>
  <w:style w:type="character" w:customStyle="1" w:styleId="personname">
    <w:name w:val="person_name"/>
    <w:basedOn w:val="DefaultParagraphFont"/>
    <w:rsid w:val="005E15C8"/>
  </w:style>
  <w:style w:type="character" w:customStyle="1" w:styleId="nlmarticle-title">
    <w:name w:val="nlm_article-title"/>
    <w:basedOn w:val="DefaultParagraphFont"/>
    <w:rsid w:val="005E15C8"/>
  </w:style>
  <w:style w:type="character" w:customStyle="1" w:styleId="citation1">
    <w:name w:val="citation1"/>
    <w:basedOn w:val="DefaultParagraphFont"/>
    <w:rsid w:val="005E15C8"/>
    <w:rPr>
      <w:sz w:val="29"/>
      <w:szCs w:val="29"/>
    </w:rPr>
  </w:style>
  <w:style w:type="character" w:customStyle="1" w:styleId="cit-issue">
    <w:name w:val="cit-issue"/>
    <w:basedOn w:val="DefaultParagraphFont"/>
    <w:rsid w:val="005E15C8"/>
  </w:style>
  <w:style w:type="character" w:customStyle="1" w:styleId="cit-auth2">
    <w:name w:val="cit-auth2"/>
    <w:basedOn w:val="DefaultParagraphFont"/>
    <w:rsid w:val="005E15C8"/>
  </w:style>
  <w:style w:type="character" w:customStyle="1" w:styleId="cit-sep2">
    <w:name w:val="cit-sep2"/>
    <w:basedOn w:val="DefaultParagraphFont"/>
    <w:rsid w:val="005E15C8"/>
  </w:style>
  <w:style w:type="character" w:customStyle="1" w:styleId="cit-print-date2">
    <w:name w:val="cit-print-date2"/>
    <w:basedOn w:val="DefaultParagraphFont"/>
    <w:rsid w:val="005E15C8"/>
  </w:style>
  <w:style w:type="character" w:customStyle="1" w:styleId="cit-vol2">
    <w:name w:val="cit-vol2"/>
    <w:basedOn w:val="DefaultParagraphFont"/>
    <w:rsid w:val="005E15C8"/>
  </w:style>
  <w:style w:type="character" w:customStyle="1" w:styleId="cit-first-page">
    <w:name w:val="cit-first-page"/>
    <w:basedOn w:val="DefaultParagraphFont"/>
    <w:rsid w:val="005E15C8"/>
  </w:style>
  <w:style w:type="character" w:customStyle="1" w:styleId="cit-last-page2">
    <w:name w:val="cit-last-page2"/>
    <w:basedOn w:val="DefaultParagraphFont"/>
    <w:rsid w:val="005E15C8"/>
  </w:style>
  <w:style w:type="character" w:customStyle="1" w:styleId="article-headermeta-info-data">
    <w:name w:val="article-header__meta-info-data"/>
    <w:basedOn w:val="DefaultParagraphFont"/>
    <w:rsid w:val="005E15C8"/>
  </w:style>
  <w:style w:type="paragraph" w:customStyle="1" w:styleId="io-left">
    <w:name w:val="io-left"/>
    <w:basedOn w:val="Normal"/>
    <w:rsid w:val="000F399E"/>
    <w:pPr>
      <w:spacing w:after="0"/>
    </w:pPr>
    <w:rPr>
      <w:rFonts w:ascii="Times New Roman" w:hAnsi="Times New Roman"/>
      <w:kern w:val="0"/>
      <w:sz w:val="24"/>
      <w14:ligatures w14:val="none"/>
      <w14:stylisticSets/>
      <w14:cntxtAlts w14:val="0"/>
    </w:rPr>
  </w:style>
  <w:style w:type="character" w:customStyle="1" w:styleId="slug-doi">
    <w:name w:val="slug-doi"/>
    <w:basedOn w:val="DefaultParagraphFont"/>
    <w:rsid w:val="00C8595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87A"/>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22187A"/>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22187A"/>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22187A"/>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22187A"/>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5E15C8"/>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E15C8"/>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E15C8"/>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E15C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E15C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2187A"/>
    <w:rPr>
      <w:rFonts w:ascii="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22187A"/>
    <w:rPr>
      <w:rFonts w:ascii="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locked/>
    <w:rsid w:val="005E15C8"/>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locked/>
    <w:rsid w:val="005E15C8"/>
    <w:rPr>
      <w:rFonts w:ascii="Garamond" w:hAnsi="Garamond"/>
      <w:b/>
      <w:snapToGrid w:val="0"/>
      <w:kern w:val="20"/>
      <w:sz w:val="18"/>
      <w:szCs w:val="24"/>
      <w14:ligatures w14:val="all"/>
      <w14:stylisticSets>
        <w14:styleSet w14:id="5"/>
      </w14:stylisticSets>
      <w14:cntxtAlts/>
    </w:rPr>
  </w:style>
  <w:style w:type="character" w:customStyle="1" w:styleId="Heading5Char">
    <w:name w:val="Heading 5 Char"/>
    <w:basedOn w:val="DefaultParagraphFont"/>
    <w:link w:val="Heading5"/>
    <w:uiPriority w:val="9"/>
    <w:semiHidden/>
    <w:rsid w:val="005E15C8"/>
    <w:rPr>
      <w:rFonts w:asciiTheme="majorHAnsi" w:eastAsiaTheme="majorEastAsia" w:hAnsiTheme="majorHAnsi" w:cstheme="majorBidi"/>
      <w:color w:val="2E74B5" w:themeColor="accent1" w:themeShade="BF"/>
      <w:kern w:val="20"/>
      <w:sz w:val="22"/>
      <w:szCs w:val="24"/>
      <w14:ligatures w14:val="all"/>
      <w14:stylisticSets>
        <w14:styleSet w14:id="5"/>
      </w14:stylisticSets>
      <w14:cntxtAlts/>
    </w:rPr>
  </w:style>
  <w:style w:type="character" w:customStyle="1" w:styleId="Heading6Char">
    <w:name w:val="Heading 6 Char"/>
    <w:basedOn w:val="DefaultParagraphFont"/>
    <w:link w:val="Heading6"/>
    <w:uiPriority w:val="9"/>
    <w:semiHidden/>
    <w:rsid w:val="005E15C8"/>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character" w:customStyle="1" w:styleId="Heading7Char">
    <w:name w:val="Heading 7 Char"/>
    <w:basedOn w:val="DefaultParagraphFont"/>
    <w:link w:val="Heading7"/>
    <w:uiPriority w:val="9"/>
    <w:semiHidden/>
    <w:rsid w:val="005E15C8"/>
    <w:rPr>
      <w:rFonts w:asciiTheme="majorHAnsi" w:eastAsiaTheme="majorEastAsia" w:hAnsiTheme="majorHAnsi" w:cstheme="majorBidi"/>
      <w:i/>
      <w:iCs/>
      <w:color w:val="1F4D78" w:themeColor="accent1" w:themeShade="7F"/>
      <w:kern w:val="20"/>
      <w:sz w:val="22"/>
      <w:szCs w:val="24"/>
      <w14:ligatures w14:val="all"/>
      <w14:stylisticSets>
        <w14:styleSet w14:id="5"/>
      </w14:stylisticSets>
      <w14:cntxtAlts/>
    </w:rPr>
  </w:style>
  <w:style w:type="character" w:customStyle="1" w:styleId="Heading8Char">
    <w:name w:val="Heading 8 Char"/>
    <w:basedOn w:val="DefaultParagraphFont"/>
    <w:link w:val="Heading8"/>
    <w:uiPriority w:val="9"/>
    <w:semiHidden/>
    <w:rsid w:val="005E15C8"/>
    <w:rPr>
      <w:rFonts w:asciiTheme="majorHAnsi" w:eastAsiaTheme="majorEastAsia" w:hAnsiTheme="majorHAnsi" w:cstheme="majorBidi"/>
      <w:color w:val="272727" w:themeColor="text1" w:themeTint="D8"/>
      <w:kern w:val="20"/>
      <w:sz w:val="21"/>
      <w:szCs w:val="21"/>
      <w14:ligatures w14:val="all"/>
      <w14:stylisticSets>
        <w14:styleSet w14:id="5"/>
      </w14:stylisticSets>
      <w14:cntxtAlts/>
    </w:rPr>
  </w:style>
  <w:style w:type="character" w:customStyle="1" w:styleId="Heading9Char">
    <w:name w:val="Heading 9 Char"/>
    <w:basedOn w:val="DefaultParagraphFont"/>
    <w:link w:val="Heading9"/>
    <w:uiPriority w:val="9"/>
    <w:semiHidden/>
    <w:rsid w:val="005E15C8"/>
    <w:rPr>
      <w:rFonts w:asciiTheme="majorHAnsi" w:eastAsiaTheme="majorEastAsia" w:hAnsiTheme="majorHAnsi" w:cstheme="majorBidi"/>
      <w:i/>
      <w:iCs/>
      <w:color w:val="272727" w:themeColor="text1" w:themeTint="D8"/>
      <w:kern w:val="20"/>
      <w:sz w:val="21"/>
      <w:szCs w:val="21"/>
      <w14:ligatures w14:val="all"/>
      <w14:stylisticSets>
        <w14:styleSet w14:id="5"/>
      </w14:stylisticSets>
      <w14:cntxtAlts/>
    </w:rPr>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uiPriority w:val="99"/>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character" w:customStyle="1" w:styleId="HeaderChar">
    <w:name w:val="Header Char"/>
    <w:basedOn w:val="DefaultParagraphFont"/>
    <w:link w:val="Header"/>
    <w:uiPriority w:val="99"/>
    <w:locked/>
    <w:rsid w:val="005E15C8"/>
    <w:rPr>
      <w:rFonts w:ascii="Arial" w:hAnsi="Arial"/>
      <w:kern w:val="20"/>
      <w:szCs w:val="24"/>
      <w14:ligatures w14:val="all"/>
      <w14:stylisticSets>
        <w14:styleSet w14:id="5"/>
      </w14:stylisticSets>
      <w14:cntxtAlts/>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customStyle="1" w:styleId="FooterChar">
    <w:name w:val="Footer Char"/>
    <w:link w:val="Footer"/>
    <w:uiPriority w:val="99"/>
    <w:rsid w:val="00B312C3"/>
    <w:rPr>
      <w:rFonts w:ascii="Arial" w:hAnsi="Arial"/>
      <w:szCs w:val="24"/>
    </w:rPr>
  </w:style>
  <w:style w:type="character" w:styleId="PageNumber">
    <w:name w:val="page number"/>
    <w:basedOn w:val="DefaultParagraphFont"/>
    <w:uiPriority w:val="99"/>
    <w:rsid w:val="00D476BE"/>
  </w:style>
  <w:style w:type="paragraph" w:customStyle="1" w:styleId="References">
    <w:name w:val="References"/>
    <w:basedOn w:val="Normal"/>
    <w:link w:val="ReferencesChar"/>
    <w:qFormat/>
    <w:rsid w:val="0022187A"/>
    <w:pPr>
      <w:ind w:left="360" w:hanging="360"/>
    </w:pPr>
    <w:rPr>
      <w:sz w:val="20"/>
    </w:rPr>
  </w:style>
  <w:style w:type="character" w:customStyle="1" w:styleId="ReferencesChar">
    <w:name w:val="References Char"/>
    <w:link w:val="References"/>
    <w:locked/>
    <w:rsid w:val="0022187A"/>
    <w:rPr>
      <w:rFonts w:ascii="Garamond" w:hAnsi="Garamond"/>
      <w:kern w:val="20"/>
      <w:szCs w:val="24"/>
      <w14:ligatures w14:val="all"/>
      <w14:stylisticSets>
        <w14:styleSet w14:id="5"/>
      </w14:stylisticSets>
      <w14:cntxtAlts/>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E15C8"/>
    <w:rPr>
      <w:rFonts w:ascii="Tahoma" w:hAnsi="Tahoma" w:cs="Tahoma"/>
      <w:kern w:val="20"/>
      <w:sz w:val="16"/>
      <w:szCs w:val="16"/>
      <w14:ligatures w14:val="all"/>
      <w14:stylisticSets>
        <w14:styleSet w14:id="5"/>
      </w14:stylisticSets>
      <w14:cntxtAlts/>
    </w:rPr>
  </w:style>
  <w:style w:type="character" w:styleId="Strong">
    <w:name w:val="Strong"/>
    <w:basedOn w:val="DefaultParagraphFont"/>
    <w:qFormat/>
    <w:rsid w:val="0022187A"/>
    <w:rPr>
      <w:b/>
      <w:bCs/>
    </w:rPr>
  </w:style>
  <w:style w:type="table" w:styleId="TableGrid">
    <w:name w:val="Table Grid"/>
    <w:basedOn w:val="TableNormal"/>
    <w:uiPriority w:val="9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99"/>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99"/>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22187A"/>
    <w:pPr>
      <w:ind w:left="720"/>
      <w:contextualSpacing/>
    </w:pPr>
  </w:style>
  <w:style w:type="paragraph" w:customStyle="1" w:styleId="PaperInfo">
    <w:name w:val="Paper_Info"/>
    <w:basedOn w:val="Normal"/>
    <w:link w:val="PaperInfoChar"/>
    <w:qFormat/>
    <w:rsid w:val="0022187A"/>
    <w:pPr>
      <w:tabs>
        <w:tab w:val="left" w:pos="2880"/>
      </w:tabs>
      <w:spacing w:after="60"/>
    </w:pPr>
  </w:style>
  <w:style w:type="character" w:customStyle="1" w:styleId="PaperInfoChar">
    <w:name w:val="Paper_Info Char"/>
    <w:basedOn w:val="DefaultParagraphFont"/>
    <w:link w:val="PaperInfo"/>
    <w:rsid w:val="0022187A"/>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22187A"/>
    <w:pPr>
      <w:spacing w:after="0"/>
    </w:pPr>
    <w:rPr>
      <w:color w:val="595959" w:themeColor="text1" w:themeTint="A6"/>
      <w:sz w:val="36"/>
    </w:rPr>
  </w:style>
  <w:style w:type="character" w:customStyle="1" w:styleId="AbstractChar">
    <w:name w:val="Abstract Char"/>
    <w:basedOn w:val="Heading1Char"/>
    <w:link w:val="Abstract"/>
    <w:rsid w:val="0022187A"/>
    <w:rPr>
      <w:rFonts w:ascii="Garamond" w:hAnsi="Garamond" w:cs="Arial"/>
      <w:b/>
      <w:bCs/>
      <w:smallCaps/>
      <w:color w:val="595959" w:themeColor="text1" w:themeTint="A6"/>
      <w:kern w:val="32"/>
      <w:sz w:val="36"/>
      <w:szCs w:val="36"/>
      <w14:ligatures w14:val="all"/>
      <w14:stylisticSets>
        <w14:styleSet w14:id="5"/>
      </w14:stylisticSets>
      <w14:cntxtAlts/>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22187A"/>
    <w:pPr>
      <w:jc w:val="center"/>
    </w:pPr>
    <w:rPr>
      <w:sz w:val="36"/>
    </w:rPr>
  </w:style>
  <w:style w:type="character" w:customStyle="1" w:styleId="PaperTitleChar">
    <w:name w:val="Paper Title Char"/>
    <w:basedOn w:val="Heading1Char"/>
    <w:link w:val="PaperTitle"/>
    <w:rsid w:val="0022187A"/>
    <w:rPr>
      <w:rFonts w:ascii="Garamond" w:hAnsi="Garamond" w:cs="Arial"/>
      <w:b/>
      <w:bCs/>
      <w:smallCaps/>
      <w:kern w:val="32"/>
      <w:sz w:val="36"/>
      <w:szCs w:val="36"/>
      <w14:ligatures w14:val="all"/>
      <w14:stylisticSets>
        <w14:styleSet w14:id="5"/>
      </w14:stylisticSets>
      <w14:cntxtAlts/>
    </w:rPr>
  </w:style>
  <w:style w:type="character" w:customStyle="1" w:styleId="rwrro">
    <w:name w:val="rwrro"/>
    <w:basedOn w:val="DefaultParagraphFont"/>
    <w:rsid w:val="00C5575B"/>
  </w:style>
  <w:style w:type="character" w:customStyle="1" w:styleId="UnresolvedMention1">
    <w:name w:val="Unresolved Mention1"/>
    <w:basedOn w:val="DefaultParagraphFont"/>
    <w:uiPriority w:val="99"/>
    <w:semiHidden/>
    <w:unhideWhenUsed/>
    <w:rsid w:val="00C5575B"/>
    <w:rPr>
      <w:color w:val="808080"/>
      <w:shd w:val="clear" w:color="auto" w:fill="E6E6E6"/>
    </w:rPr>
  </w:style>
  <w:style w:type="paragraph" w:styleId="NormalWeb">
    <w:name w:val="Normal (Web)"/>
    <w:basedOn w:val="Normal"/>
    <w:uiPriority w:val="99"/>
    <w:rsid w:val="005E15C8"/>
    <w:pPr>
      <w:spacing w:before="100" w:beforeAutospacing="1" w:after="100" w:afterAutospacing="1"/>
    </w:pPr>
    <w:rPr>
      <w:rFonts w:ascii="Times New Roman" w:eastAsia="SimSun" w:hAnsi="Times New Roman"/>
      <w:kern w:val="0"/>
      <w:sz w:val="24"/>
      <w:lang w:val="en-AU" w:eastAsia="en-AU" w:bidi="he-IL"/>
      <w14:ligatures w14:val="none"/>
      <w14:stylisticSets/>
      <w14:cntxtAlts w14:val="0"/>
    </w:rPr>
  </w:style>
  <w:style w:type="paragraph" w:customStyle="1" w:styleId="authors">
    <w:name w:val="authors"/>
    <w:basedOn w:val="Normal"/>
    <w:uiPriority w:val="99"/>
    <w:rsid w:val="005E15C8"/>
    <w:pPr>
      <w:spacing w:before="100" w:beforeAutospacing="1" w:after="100" w:afterAutospacing="1"/>
    </w:pPr>
    <w:rPr>
      <w:rFonts w:ascii="Times New Roman" w:eastAsia="SimSun" w:hAnsi="Times New Roman"/>
      <w:kern w:val="0"/>
      <w:sz w:val="24"/>
      <w:lang w:val="en-AU" w:eastAsia="en-AU" w:bidi="he-IL"/>
      <w14:ligatures w14:val="none"/>
      <w14:stylisticSets/>
      <w14:cntxtAlts w14:val="0"/>
    </w:rPr>
  </w:style>
  <w:style w:type="paragraph" w:customStyle="1" w:styleId="Default">
    <w:name w:val="Default"/>
    <w:rsid w:val="005E15C8"/>
    <w:pPr>
      <w:autoSpaceDE w:val="0"/>
      <w:autoSpaceDN w:val="0"/>
      <w:adjustRightInd w:val="0"/>
    </w:pPr>
    <w:rPr>
      <w:rFonts w:ascii="Calibri" w:eastAsia="SimSun" w:hAnsi="Calibri" w:cs="Calibri"/>
      <w:color w:val="000000"/>
      <w:sz w:val="24"/>
      <w:szCs w:val="24"/>
      <w:lang w:val="en-AU" w:eastAsia="en-AU" w:bidi="he-IL"/>
    </w:rPr>
  </w:style>
  <w:style w:type="paragraph" w:styleId="BodyText2">
    <w:name w:val="Body Text 2"/>
    <w:basedOn w:val="Normal"/>
    <w:link w:val="BodyText2Char"/>
    <w:uiPriority w:val="99"/>
    <w:rsid w:val="005E15C8"/>
    <w:pPr>
      <w:spacing w:after="0" w:line="360" w:lineRule="auto"/>
      <w:jc w:val="both"/>
    </w:pPr>
    <w:rPr>
      <w:rFonts w:ascii="Times New Roman" w:eastAsia="SimSun" w:hAnsi="Times New Roman"/>
      <w:kern w:val="0"/>
      <w:sz w:val="24"/>
      <w:lang w:val="en-AU"/>
      <w14:ligatures w14:val="none"/>
      <w14:stylisticSets/>
      <w14:cntxtAlts w14:val="0"/>
    </w:rPr>
  </w:style>
  <w:style w:type="character" w:customStyle="1" w:styleId="BodyText2Char">
    <w:name w:val="Body Text 2 Char"/>
    <w:basedOn w:val="DefaultParagraphFont"/>
    <w:link w:val="BodyText2"/>
    <w:uiPriority w:val="99"/>
    <w:rsid w:val="005E15C8"/>
    <w:rPr>
      <w:rFonts w:eastAsia="SimSun"/>
      <w:sz w:val="24"/>
      <w:szCs w:val="24"/>
      <w:lang w:val="en-AU"/>
    </w:rPr>
  </w:style>
  <w:style w:type="paragraph" w:customStyle="1" w:styleId="FigureText">
    <w:name w:val="Figure Text"/>
    <w:basedOn w:val="Normal"/>
    <w:next w:val="Normal"/>
    <w:uiPriority w:val="99"/>
    <w:rsid w:val="005E15C8"/>
    <w:pPr>
      <w:autoSpaceDE w:val="0"/>
      <w:autoSpaceDN w:val="0"/>
      <w:adjustRightInd w:val="0"/>
      <w:spacing w:after="0"/>
      <w:jc w:val="both"/>
    </w:pPr>
    <w:rPr>
      <w:rFonts w:ascii="Arial" w:eastAsia="MS Mincho" w:hAnsi="Arial" w:cs="Arial"/>
      <w:i/>
      <w:iCs/>
      <w:kern w:val="0"/>
      <w:szCs w:val="22"/>
      <w:lang w:val="en-AU" w:eastAsia="ja-JP" w:bidi="he-IL"/>
      <w14:ligatures w14:val="none"/>
      <w14:stylisticSets/>
      <w14:cntxtAlts w14:val="0"/>
    </w:rPr>
  </w:style>
  <w:style w:type="character" w:customStyle="1" w:styleId="z-TopofFormChar">
    <w:name w:val="z-Top of Form Char"/>
    <w:basedOn w:val="DefaultParagraphFont"/>
    <w:link w:val="z-TopofForm"/>
    <w:uiPriority w:val="99"/>
    <w:semiHidden/>
    <w:rsid w:val="005E15C8"/>
    <w:rPr>
      <w:rFonts w:eastAsia="SimSun"/>
      <w:sz w:val="24"/>
    </w:rPr>
  </w:style>
  <w:style w:type="paragraph" w:styleId="z-TopofForm">
    <w:name w:val="HTML Top of Form"/>
    <w:basedOn w:val="Normal"/>
    <w:link w:val="z-TopofFormChar"/>
    <w:uiPriority w:val="99"/>
    <w:semiHidden/>
    <w:rsid w:val="005E15C8"/>
    <w:pPr>
      <w:spacing w:after="0"/>
    </w:pPr>
    <w:rPr>
      <w:rFonts w:ascii="Times New Roman" w:eastAsia="SimSun" w:hAnsi="Times New Roman"/>
      <w:kern w:val="0"/>
      <w:sz w:val="24"/>
      <w:szCs w:val="20"/>
      <w14:ligatures w14:val="none"/>
      <w14:stylisticSets/>
      <w14:cntxtAlts w14:val="0"/>
    </w:rPr>
  </w:style>
  <w:style w:type="character" w:styleId="Emphasis">
    <w:name w:val="Emphasis"/>
    <w:basedOn w:val="DefaultParagraphFont"/>
    <w:uiPriority w:val="20"/>
    <w:qFormat/>
    <w:rsid w:val="005E15C8"/>
    <w:rPr>
      <w:i/>
      <w:iCs/>
    </w:rPr>
  </w:style>
  <w:style w:type="paragraph" w:styleId="BodyText">
    <w:name w:val="Body Text"/>
    <w:basedOn w:val="Normal"/>
    <w:link w:val="BodyTextChar"/>
    <w:uiPriority w:val="99"/>
    <w:rsid w:val="005E15C8"/>
    <w:pPr>
      <w:spacing w:line="276" w:lineRule="auto"/>
    </w:pPr>
    <w:rPr>
      <w:rFonts w:ascii="Calibri" w:eastAsia="SimSun" w:hAnsi="Calibri"/>
      <w:kern w:val="0"/>
      <w:szCs w:val="22"/>
      <w:lang w:val="en-AU" w:eastAsia="en-AU"/>
      <w14:ligatures w14:val="none"/>
      <w14:stylisticSets/>
      <w14:cntxtAlts w14:val="0"/>
    </w:rPr>
  </w:style>
  <w:style w:type="character" w:customStyle="1" w:styleId="BodyTextChar">
    <w:name w:val="Body Text Char"/>
    <w:basedOn w:val="DefaultParagraphFont"/>
    <w:link w:val="BodyText"/>
    <w:uiPriority w:val="99"/>
    <w:rsid w:val="005E15C8"/>
    <w:rPr>
      <w:rFonts w:ascii="Calibri" w:eastAsia="SimSun" w:hAnsi="Calibri"/>
      <w:sz w:val="22"/>
      <w:szCs w:val="22"/>
      <w:lang w:val="en-AU" w:eastAsia="en-AU"/>
    </w:rPr>
  </w:style>
  <w:style w:type="paragraph" w:styleId="BodyText3">
    <w:name w:val="Body Text 3"/>
    <w:basedOn w:val="Normal"/>
    <w:link w:val="BodyText3Char"/>
    <w:uiPriority w:val="99"/>
    <w:rsid w:val="005E15C8"/>
    <w:pPr>
      <w:spacing w:line="276" w:lineRule="auto"/>
    </w:pPr>
    <w:rPr>
      <w:rFonts w:ascii="Calibri" w:eastAsia="SimSun" w:hAnsi="Calibri"/>
      <w:kern w:val="0"/>
      <w:sz w:val="16"/>
      <w:szCs w:val="16"/>
      <w:lang w:val="en-AU" w:eastAsia="en-AU"/>
      <w14:ligatures w14:val="none"/>
      <w14:stylisticSets/>
      <w14:cntxtAlts w14:val="0"/>
    </w:rPr>
  </w:style>
  <w:style w:type="character" w:customStyle="1" w:styleId="BodyText3Char">
    <w:name w:val="Body Text 3 Char"/>
    <w:basedOn w:val="DefaultParagraphFont"/>
    <w:link w:val="BodyText3"/>
    <w:uiPriority w:val="99"/>
    <w:rsid w:val="005E15C8"/>
    <w:rPr>
      <w:rFonts w:ascii="Calibri" w:eastAsia="SimSun" w:hAnsi="Calibri"/>
      <w:sz w:val="16"/>
      <w:szCs w:val="16"/>
      <w:lang w:val="en-AU" w:eastAsia="en-AU"/>
    </w:rPr>
  </w:style>
  <w:style w:type="paragraph" w:styleId="BodyTextIndent2">
    <w:name w:val="Body Text Indent 2"/>
    <w:basedOn w:val="Normal"/>
    <w:link w:val="BodyTextIndent2Char"/>
    <w:uiPriority w:val="99"/>
    <w:rsid w:val="005E15C8"/>
    <w:pPr>
      <w:tabs>
        <w:tab w:val="left" w:pos="850"/>
        <w:tab w:val="left" w:pos="1701"/>
        <w:tab w:val="left" w:pos="4252"/>
      </w:tabs>
      <w:spacing w:after="0" w:line="400" w:lineRule="atLeast"/>
      <w:ind w:firstLine="567"/>
      <w:jc w:val="both"/>
    </w:pPr>
    <w:rPr>
      <w:rFonts w:ascii="Times New Roman" w:eastAsia="SimSun" w:hAnsi="Times New Roman"/>
      <w:kern w:val="0"/>
      <w:sz w:val="24"/>
      <w:szCs w:val="20"/>
      <w:lang w:val="en-AU"/>
      <w14:ligatures w14:val="none"/>
      <w14:stylisticSets/>
      <w14:cntxtAlts w14:val="0"/>
    </w:rPr>
  </w:style>
  <w:style w:type="character" w:customStyle="1" w:styleId="BodyTextIndent2Char">
    <w:name w:val="Body Text Indent 2 Char"/>
    <w:basedOn w:val="DefaultParagraphFont"/>
    <w:link w:val="BodyTextIndent2"/>
    <w:uiPriority w:val="99"/>
    <w:rsid w:val="005E15C8"/>
    <w:rPr>
      <w:rFonts w:eastAsia="SimSun"/>
      <w:sz w:val="24"/>
      <w:lang w:val="en-AU"/>
    </w:rPr>
  </w:style>
  <w:style w:type="paragraph" w:styleId="PlainText">
    <w:name w:val="Plain Text"/>
    <w:basedOn w:val="Normal"/>
    <w:link w:val="PlainTextChar"/>
    <w:uiPriority w:val="99"/>
    <w:rsid w:val="005E15C8"/>
    <w:pPr>
      <w:spacing w:after="0"/>
    </w:pPr>
    <w:rPr>
      <w:rFonts w:ascii="Courier New" w:eastAsia="SimSun" w:hAnsi="Courier New"/>
      <w:kern w:val="0"/>
      <w:sz w:val="20"/>
      <w:szCs w:val="20"/>
      <w:lang w:val="en-AU"/>
      <w14:ligatures w14:val="none"/>
      <w14:stylisticSets/>
      <w14:cntxtAlts w14:val="0"/>
    </w:rPr>
  </w:style>
  <w:style w:type="character" w:customStyle="1" w:styleId="PlainTextChar">
    <w:name w:val="Plain Text Char"/>
    <w:basedOn w:val="DefaultParagraphFont"/>
    <w:link w:val="PlainText"/>
    <w:uiPriority w:val="99"/>
    <w:rsid w:val="005E15C8"/>
    <w:rPr>
      <w:rFonts w:ascii="Courier New" w:eastAsia="SimSun" w:hAnsi="Courier New"/>
      <w:lang w:val="en-AU"/>
    </w:rPr>
  </w:style>
  <w:style w:type="paragraph" w:styleId="BodyTextIndent">
    <w:name w:val="Body Text Indent"/>
    <w:basedOn w:val="Normal"/>
    <w:link w:val="BodyTextIndentChar"/>
    <w:uiPriority w:val="99"/>
    <w:rsid w:val="005E15C8"/>
    <w:pPr>
      <w:tabs>
        <w:tab w:val="left" w:pos="0"/>
        <w:tab w:val="left" w:pos="3580"/>
        <w:tab w:val="left" w:pos="6460"/>
      </w:tabs>
      <w:spacing w:after="0"/>
      <w:ind w:hanging="20"/>
      <w:jc w:val="both"/>
    </w:pPr>
    <w:rPr>
      <w:rFonts w:ascii="Times New Roman" w:eastAsia="SimSun" w:hAnsi="Times New Roman"/>
      <w:kern w:val="0"/>
      <w:sz w:val="24"/>
      <w:szCs w:val="20"/>
      <w14:ligatures w14:val="none"/>
      <w14:stylisticSets/>
      <w14:cntxtAlts w14:val="0"/>
    </w:rPr>
  </w:style>
  <w:style w:type="character" w:customStyle="1" w:styleId="BodyTextIndentChar">
    <w:name w:val="Body Text Indent Char"/>
    <w:basedOn w:val="DefaultParagraphFont"/>
    <w:link w:val="BodyTextIndent"/>
    <w:uiPriority w:val="99"/>
    <w:rsid w:val="005E15C8"/>
    <w:rPr>
      <w:rFonts w:eastAsia="SimSun"/>
      <w:sz w:val="24"/>
    </w:rPr>
  </w:style>
  <w:style w:type="paragraph" w:styleId="BodyTextIndent3">
    <w:name w:val="Body Text Indent 3"/>
    <w:basedOn w:val="Normal"/>
    <w:link w:val="BodyTextIndent3Char"/>
    <w:uiPriority w:val="99"/>
    <w:rsid w:val="005E15C8"/>
    <w:pPr>
      <w:tabs>
        <w:tab w:val="left" w:pos="340"/>
        <w:tab w:val="left" w:pos="1120"/>
        <w:tab w:val="left" w:pos="5340"/>
      </w:tabs>
      <w:spacing w:after="0"/>
      <w:ind w:left="340" w:hanging="340"/>
      <w:jc w:val="both"/>
    </w:pPr>
    <w:rPr>
      <w:rFonts w:ascii="Times New Roman" w:eastAsia="SimSun" w:hAnsi="Times New Roman"/>
      <w:kern w:val="0"/>
      <w:sz w:val="24"/>
      <w:szCs w:val="20"/>
      <w14:ligatures w14:val="none"/>
      <w14:stylisticSets/>
      <w14:cntxtAlts w14:val="0"/>
    </w:rPr>
  </w:style>
  <w:style w:type="character" w:customStyle="1" w:styleId="BodyTextIndent3Char">
    <w:name w:val="Body Text Indent 3 Char"/>
    <w:basedOn w:val="DefaultParagraphFont"/>
    <w:link w:val="BodyTextIndent3"/>
    <w:uiPriority w:val="99"/>
    <w:rsid w:val="005E15C8"/>
    <w:rPr>
      <w:rFonts w:eastAsia="SimSun"/>
      <w:sz w:val="24"/>
    </w:rPr>
  </w:style>
  <w:style w:type="character" w:customStyle="1" w:styleId="bodyat121">
    <w:name w:val="body_at_121"/>
    <w:basedOn w:val="DefaultParagraphFont"/>
    <w:uiPriority w:val="99"/>
    <w:rsid w:val="005E15C8"/>
    <w:rPr>
      <w:rFonts w:ascii="Arial" w:hAnsi="Arial" w:cs="Arial"/>
      <w:color w:val="000000"/>
      <w:sz w:val="24"/>
      <w:szCs w:val="24"/>
    </w:rPr>
  </w:style>
  <w:style w:type="paragraph" w:styleId="CommentText">
    <w:name w:val="annotation text"/>
    <w:basedOn w:val="Normal"/>
    <w:link w:val="CommentTextChar"/>
    <w:uiPriority w:val="99"/>
    <w:rsid w:val="005E15C8"/>
    <w:pPr>
      <w:spacing w:after="200"/>
    </w:pPr>
    <w:rPr>
      <w:rFonts w:ascii="Calibri" w:eastAsia="SimSun" w:hAnsi="Calibri"/>
      <w:kern w:val="0"/>
      <w:sz w:val="20"/>
      <w:szCs w:val="20"/>
      <w:lang w:val="en-AU" w:eastAsia="en-AU"/>
      <w14:ligatures w14:val="none"/>
      <w14:stylisticSets/>
      <w14:cntxtAlts w14:val="0"/>
    </w:rPr>
  </w:style>
  <w:style w:type="character" w:customStyle="1" w:styleId="CommentTextChar">
    <w:name w:val="Comment Text Char"/>
    <w:basedOn w:val="DefaultParagraphFont"/>
    <w:link w:val="CommentText"/>
    <w:uiPriority w:val="99"/>
    <w:rsid w:val="005E15C8"/>
    <w:rPr>
      <w:rFonts w:ascii="Calibri" w:eastAsia="SimSun" w:hAnsi="Calibri"/>
      <w:lang w:val="en-AU" w:eastAsia="en-AU"/>
    </w:rPr>
  </w:style>
  <w:style w:type="character" w:customStyle="1" w:styleId="CommentSubjectChar">
    <w:name w:val="Comment Subject Char"/>
    <w:basedOn w:val="CommentTextChar"/>
    <w:link w:val="CommentSubject"/>
    <w:uiPriority w:val="99"/>
    <w:semiHidden/>
    <w:rsid w:val="005E15C8"/>
    <w:rPr>
      <w:rFonts w:ascii="Calibri" w:eastAsia="SimSun" w:hAnsi="Calibri"/>
      <w:b/>
      <w:bCs/>
      <w:lang w:val="en-AU" w:eastAsia="en-AU"/>
    </w:rPr>
  </w:style>
  <w:style w:type="paragraph" w:styleId="CommentSubject">
    <w:name w:val="annotation subject"/>
    <w:basedOn w:val="CommentText"/>
    <w:next w:val="CommentText"/>
    <w:link w:val="CommentSubjectChar"/>
    <w:uiPriority w:val="99"/>
    <w:semiHidden/>
    <w:rsid w:val="005E15C8"/>
    <w:rPr>
      <w:b/>
      <w:bCs/>
    </w:rPr>
  </w:style>
  <w:style w:type="character" w:customStyle="1" w:styleId="hw1">
    <w:name w:val="hw1"/>
    <w:basedOn w:val="DefaultParagraphFont"/>
    <w:uiPriority w:val="99"/>
    <w:rsid w:val="005E15C8"/>
    <w:rPr>
      <w:rFonts w:cs="Times New Roman"/>
      <w:b/>
      <w:bCs/>
      <w:sz w:val="29"/>
      <w:szCs w:val="29"/>
    </w:rPr>
  </w:style>
  <w:style w:type="character" w:customStyle="1" w:styleId="ssens">
    <w:name w:val="ssens"/>
    <w:basedOn w:val="DefaultParagraphFont"/>
    <w:uiPriority w:val="99"/>
    <w:rsid w:val="005E15C8"/>
    <w:rPr>
      <w:rFonts w:cs="Times New Roman"/>
    </w:rPr>
  </w:style>
  <w:style w:type="character" w:customStyle="1" w:styleId="a1">
    <w:name w:val="a1"/>
    <w:basedOn w:val="DefaultParagraphFont"/>
    <w:uiPriority w:val="99"/>
    <w:rsid w:val="005E15C8"/>
    <w:rPr>
      <w:rFonts w:ascii="Times New Roman" w:hAnsi="Times New Roman" w:cs="Times New Roman"/>
      <w:bdr w:val="none" w:sz="0" w:space="0" w:color="auto" w:frame="1"/>
    </w:rPr>
  </w:style>
  <w:style w:type="character" w:customStyle="1" w:styleId="l62">
    <w:name w:val="l62"/>
    <w:basedOn w:val="DefaultParagraphFont"/>
    <w:uiPriority w:val="99"/>
    <w:rsid w:val="005E15C8"/>
    <w:rPr>
      <w:rFonts w:ascii="Times New Roman" w:hAnsi="Times New Roman" w:cs="Times New Roman"/>
      <w:bdr w:val="none" w:sz="0" w:space="0" w:color="auto" w:frame="1"/>
    </w:rPr>
  </w:style>
  <w:style w:type="character" w:customStyle="1" w:styleId="l72">
    <w:name w:val="l72"/>
    <w:basedOn w:val="DefaultParagraphFont"/>
    <w:uiPriority w:val="99"/>
    <w:rsid w:val="005E15C8"/>
    <w:rPr>
      <w:rFonts w:ascii="Times New Roman" w:hAnsi="Times New Roman" w:cs="Times New Roman"/>
      <w:bdr w:val="none" w:sz="0" w:space="0" w:color="auto" w:frame="1"/>
    </w:rPr>
  </w:style>
  <w:style w:type="paragraph" w:customStyle="1" w:styleId="GBBody">
    <w:name w:val="GB Body"/>
    <w:basedOn w:val="Normal"/>
    <w:link w:val="GBBodyChar"/>
    <w:uiPriority w:val="99"/>
    <w:rsid w:val="005E15C8"/>
    <w:pPr>
      <w:spacing w:after="0"/>
      <w:jc w:val="both"/>
    </w:pPr>
    <w:rPr>
      <w:rFonts w:ascii="Gill Sans MT" w:eastAsia="SimSun" w:hAnsi="Gill Sans MT"/>
      <w:color w:val="000000"/>
      <w:kern w:val="0"/>
      <w:sz w:val="24"/>
      <w:szCs w:val="20"/>
      <w:lang w:val="en-AU" w:eastAsia="en-AU"/>
      <w14:ligatures w14:val="none"/>
      <w14:stylisticSets/>
      <w14:cntxtAlts w14:val="0"/>
    </w:rPr>
  </w:style>
  <w:style w:type="character" w:customStyle="1" w:styleId="GBBodyChar">
    <w:name w:val="GB Body Char"/>
    <w:link w:val="GBBody"/>
    <w:uiPriority w:val="99"/>
    <w:locked/>
    <w:rsid w:val="005E15C8"/>
    <w:rPr>
      <w:rFonts w:ascii="Gill Sans MT" w:eastAsia="SimSun" w:hAnsi="Gill Sans MT"/>
      <w:color w:val="000000"/>
      <w:sz w:val="24"/>
      <w:lang w:val="en-AU" w:eastAsia="en-AU"/>
    </w:rPr>
  </w:style>
  <w:style w:type="character" w:customStyle="1" w:styleId="reference-text">
    <w:name w:val="reference-text"/>
    <w:basedOn w:val="DefaultParagraphFont"/>
    <w:uiPriority w:val="99"/>
    <w:rsid w:val="005E15C8"/>
    <w:rPr>
      <w:rFonts w:cs="Times New Roman"/>
    </w:rPr>
  </w:style>
  <w:style w:type="character" w:customStyle="1" w:styleId="citationbook">
    <w:name w:val="citation book"/>
    <w:basedOn w:val="DefaultParagraphFont"/>
    <w:uiPriority w:val="99"/>
    <w:rsid w:val="005E15C8"/>
    <w:rPr>
      <w:rFonts w:cs="Times New Roman"/>
    </w:rPr>
  </w:style>
  <w:style w:type="character" w:customStyle="1" w:styleId="addmd1">
    <w:name w:val="addmd1"/>
    <w:basedOn w:val="DefaultParagraphFont"/>
    <w:rsid w:val="005E15C8"/>
    <w:rPr>
      <w:sz w:val="20"/>
      <w:szCs w:val="20"/>
    </w:rPr>
  </w:style>
  <w:style w:type="character" w:customStyle="1" w:styleId="articlealttitle1">
    <w:name w:val="articlealttitle1"/>
    <w:basedOn w:val="DefaultParagraphFont"/>
    <w:rsid w:val="005E15C8"/>
    <w:rPr>
      <w:sz w:val="24"/>
      <w:szCs w:val="24"/>
      <w:bdr w:val="none" w:sz="0" w:space="0" w:color="auto" w:frame="1"/>
      <w:vertAlign w:val="baseline"/>
    </w:rPr>
  </w:style>
  <w:style w:type="character" w:customStyle="1" w:styleId="product-field-display">
    <w:name w:val="product-field-display"/>
    <w:basedOn w:val="DefaultParagraphFont"/>
    <w:rsid w:val="005E15C8"/>
  </w:style>
  <w:style w:type="paragraph" w:customStyle="1" w:styleId="product-subtitle1">
    <w:name w:val="product-subtitle1"/>
    <w:basedOn w:val="Normal"/>
    <w:rsid w:val="005E15C8"/>
    <w:rPr>
      <w:rFonts w:ascii="Times New Roman" w:hAnsi="Times New Roman"/>
      <w:color w:val="000000"/>
      <w:kern w:val="0"/>
      <w:sz w:val="27"/>
      <w:szCs w:val="27"/>
      <w:lang w:val="en-AU" w:eastAsia="en-AU"/>
      <w14:ligatures w14:val="none"/>
      <w14:stylisticSets/>
      <w14:cntxtAlts w14:val="0"/>
    </w:rPr>
  </w:style>
  <w:style w:type="character" w:customStyle="1" w:styleId="a">
    <w:name w:val="_"/>
    <w:basedOn w:val="DefaultParagraphFont"/>
    <w:rsid w:val="005E15C8"/>
  </w:style>
  <w:style w:type="character" w:customStyle="1" w:styleId="ff3">
    <w:name w:val="ff3"/>
    <w:basedOn w:val="DefaultParagraphFont"/>
    <w:rsid w:val="005E15C8"/>
  </w:style>
  <w:style w:type="character" w:customStyle="1" w:styleId="ls21">
    <w:name w:val="ls21"/>
    <w:basedOn w:val="DefaultParagraphFont"/>
    <w:rsid w:val="005E15C8"/>
  </w:style>
  <w:style w:type="character" w:customStyle="1" w:styleId="fs1">
    <w:name w:val="fs1"/>
    <w:basedOn w:val="DefaultParagraphFont"/>
    <w:rsid w:val="005E15C8"/>
  </w:style>
  <w:style w:type="character" w:customStyle="1" w:styleId="ff4">
    <w:name w:val="ff4"/>
    <w:basedOn w:val="DefaultParagraphFont"/>
    <w:rsid w:val="005E15C8"/>
  </w:style>
  <w:style w:type="character" w:customStyle="1" w:styleId="ff5">
    <w:name w:val="ff5"/>
    <w:basedOn w:val="DefaultParagraphFont"/>
    <w:rsid w:val="005E15C8"/>
  </w:style>
  <w:style w:type="paragraph" w:customStyle="1" w:styleId="Pa0">
    <w:name w:val="Pa0"/>
    <w:basedOn w:val="Default"/>
    <w:next w:val="Default"/>
    <w:uiPriority w:val="99"/>
    <w:rsid w:val="005E15C8"/>
    <w:pPr>
      <w:spacing w:line="241" w:lineRule="atLeast"/>
    </w:pPr>
    <w:rPr>
      <w:rFonts w:ascii="HelveticaNeueLT Std Thin" w:hAnsi="HelveticaNeueLT Std Thin" w:cs="Times New Roman"/>
      <w:color w:val="auto"/>
      <w:lang w:bidi="ar-SA"/>
    </w:rPr>
  </w:style>
  <w:style w:type="character" w:customStyle="1" w:styleId="A2">
    <w:name w:val="A2"/>
    <w:uiPriority w:val="99"/>
    <w:rsid w:val="005E15C8"/>
    <w:rPr>
      <w:rFonts w:cs="HelveticaNeueLT Std Thin"/>
      <w:color w:val="FFFFFF"/>
      <w:sz w:val="127"/>
      <w:szCs w:val="127"/>
    </w:rPr>
  </w:style>
  <w:style w:type="character" w:customStyle="1" w:styleId="A3">
    <w:name w:val="A3"/>
    <w:uiPriority w:val="99"/>
    <w:rsid w:val="005E15C8"/>
    <w:rPr>
      <w:rFonts w:ascii="HelveticaNeueLT Std Lt" w:hAnsi="HelveticaNeueLT Std Lt" w:cs="HelveticaNeueLT Std Lt"/>
      <w:color w:val="FFFFFF"/>
      <w:sz w:val="36"/>
      <w:szCs w:val="36"/>
    </w:rPr>
  </w:style>
  <w:style w:type="character" w:customStyle="1" w:styleId="slug-pub-date3">
    <w:name w:val="slug-pub-date3"/>
    <w:basedOn w:val="DefaultParagraphFont"/>
    <w:rsid w:val="005E15C8"/>
    <w:rPr>
      <w:b/>
      <w:bCs/>
    </w:rPr>
  </w:style>
  <w:style w:type="character" w:customStyle="1" w:styleId="slug-vol">
    <w:name w:val="slug-vol"/>
    <w:basedOn w:val="DefaultParagraphFont"/>
    <w:rsid w:val="005E15C8"/>
  </w:style>
  <w:style w:type="character" w:customStyle="1" w:styleId="slug-issue">
    <w:name w:val="slug-issue"/>
    <w:basedOn w:val="DefaultParagraphFont"/>
    <w:rsid w:val="005E15C8"/>
  </w:style>
  <w:style w:type="character" w:customStyle="1" w:styleId="slug-pages3">
    <w:name w:val="slug-pages3"/>
    <w:basedOn w:val="DefaultParagraphFont"/>
    <w:rsid w:val="005E15C8"/>
    <w:rPr>
      <w:b/>
      <w:bCs/>
    </w:rPr>
  </w:style>
  <w:style w:type="character" w:customStyle="1" w:styleId="fn">
    <w:name w:val="fn"/>
    <w:basedOn w:val="DefaultParagraphFont"/>
    <w:rsid w:val="005E15C8"/>
  </w:style>
  <w:style w:type="character" w:customStyle="1" w:styleId="comma">
    <w:name w:val="comma"/>
    <w:basedOn w:val="DefaultParagraphFont"/>
    <w:rsid w:val="005E15C8"/>
  </w:style>
  <w:style w:type="character" w:customStyle="1" w:styleId="ng-isolate-scope">
    <w:name w:val="ng-isolate-scope"/>
    <w:basedOn w:val="DefaultParagraphFont"/>
    <w:rsid w:val="005E15C8"/>
  </w:style>
  <w:style w:type="character" w:customStyle="1" w:styleId="ng-binding">
    <w:name w:val="ng-binding"/>
    <w:basedOn w:val="DefaultParagraphFont"/>
    <w:rsid w:val="005E15C8"/>
  </w:style>
  <w:style w:type="character" w:customStyle="1" w:styleId="ng-scope">
    <w:name w:val="ng-scope"/>
    <w:basedOn w:val="DefaultParagraphFont"/>
    <w:rsid w:val="005E15C8"/>
  </w:style>
  <w:style w:type="character" w:customStyle="1" w:styleId="current-selection">
    <w:name w:val="current-selection"/>
    <w:basedOn w:val="DefaultParagraphFont"/>
    <w:rsid w:val="005E15C8"/>
  </w:style>
  <w:style w:type="character" w:customStyle="1" w:styleId="hlfld-contribauthor2">
    <w:name w:val="hlfld-contribauthor2"/>
    <w:basedOn w:val="DefaultParagraphFont"/>
    <w:rsid w:val="005E15C8"/>
  </w:style>
  <w:style w:type="character" w:customStyle="1" w:styleId="hlfld-title2">
    <w:name w:val="hlfld-title2"/>
    <w:basedOn w:val="DefaultParagraphFont"/>
    <w:rsid w:val="005E15C8"/>
  </w:style>
  <w:style w:type="character" w:customStyle="1" w:styleId="ws2">
    <w:name w:val="ws2"/>
    <w:basedOn w:val="DefaultParagraphFont"/>
    <w:rsid w:val="005E15C8"/>
  </w:style>
  <w:style w:type="character" w:customStyle="1" w:styleId="enhanced-author">
    <w:name w:val="enhanced-author"/>
    <w:basedOn w:val="DefaultParagraphFont"/>
    <w:rsid w:val="005E15C8"/>
  </w:style>
  <w:style w:type="paragraph" w:styleId="NoSpacing">
    <w:name w:val="No Spacing"/>
    <w:uiPriority w:val="1"/>
    <w:qFormat/>
    <w:rsid w:val="005E15C8"/>
    <w:rPr>
      <w:rFonts w:ascii="Garamond" w:eastAsia="SimSun" w:hAnsi="Garamond"/>
      <w:kern w:val="20"/>
      <w:sz w:val="22"/>
      <w:szCs w:val="24"/>
      <w14:ligatures w14:val="all"/>
      <w14:stylisticSets>
        <w14:styleSet w14:id="5"/>
      </w14:stylisticSets>
      <w14:cntxtAlts/>
    </w:rPr>
  </w:style>
  <w:style w:type="character" w:customStyle="1" w:styleId="EndNoteBibliographyChar">
    <w:name w:val="EndNote Bibliography Char"/>
    <w:basedOn w:val="DefaultParagraphFont"/>
    <w:link w:val="EndNoteBibliography"/>
    <w:locked/>
    <w:rsid w:val="005E15C8"/>
    <w:rPr>
      <w:noProof/>
      <w:sz w:val="24"/>
    </w:rPr>
  </w:style>
  <w:style w:type="paragraph" w:customStyle="1" w:styleId="EndNoteBibliography">
    <w:name w:val="EndNote Bibliography"/>
    <w:basedOn w:val="Normal"/>
    <w:link w:val="EndNoteBibliographyChar"/>
    <w:rsid w:val="005E15C8"/>
    <w:pPr>
      <w:jc w:val="both"/>
    </w:pPr>
    <w:rPr>
      <w:rFonts w:ascii="Times New Roman" w:hAnsi="Times New Roman"/>
      <w:noProof/>
      <w:kern w:val="0"/>
      <w:sz w:val="24"/>
      <w:szCs w:val="20"/>
      <w14:ligatures w14:val="none"/>
      <w14:stylisticSets/>
      <w14:cntxtAlts w14:val="0"/>
    </w:rPr>
  </w:style>
  <w:style w:type="character" w:customStyle="1" w:styleId="st1">
    <w:name w:val="st1"/>
    <w:basedOn w:val="DefaultParagraphFont"/>
    <w:rsid w:val="005E15C8"/>
  </w:style>
  <w:style w:type="character" w:customStyle="1" w:styleId="personname">
    <w:name w:val="person_name"/>
    <w:basedOn w:val="DefaultParagraphFont"/>
    <w:rsid w:val="005E15C8"/>
  </w:style>
  <w:style w:type="character" w:customStyle="1" w:styleId="nlmarticle-title">
    <w:name w:val="nlm_article-title"/>
    <w:basedOn w:val="DefaultParagraphFont"/>
    <w:rsid w:val="005E15C8"/>
  </w:style>
  <w:style w:type="character" w:customStyle="1" w:styleId="citation1">
    <w:name w:val="citation1"/>
    <w:basedOn w:val="DefaultParagraphFont"/>
    <w:rsid w:val="005E15C8"/>
    <w:rPr>
      <w:sz w:val="29"/>
      <w:szCs w:val="29"/>
    </w:rPr>
  </w:style>
  <w:style w:type="character" w:customStyle="1" w:styleId="cit-issue">
    <w:name w:val="cit-issue"/>
    <w:basedOn w:val="DefaultParagraphFont"/>
    <w:rsid w:val="005E15C8"/>
  </w:style>
  <w:style w:type="character" w:customStyle="1" w:styleId="cit-auth2">
    <w:name w:val="cit-auth2"/>
    <w:basedOn w:val="DefaultParagraphFont"/>
    <w:rsid w:val="005E15C8"/>
  </w:style>
  <w:style w:type="character" w:customStyle="1" w:styleId="cit-sep2">
    <w:name w:val="cit-sep2"/>
    <w:basedOn w:val="DefaultParagraphFont"/>
    <w:rsid w:val="005E15C8"/>
  </w:style>
  <w:style w:type="character" w:customStyle="1" w:styleId="cit-print-date2">
    <w:name w:val="cit-print-date2"/>
    <w:basedOn w:val="DefaultParagraphFont"/>
    <w:rsid w:val="005E15C8"/>
  </w:style>
  <w:style w:type="character" w:customStyle="1" w:styleId="cit-vol2">
    <w:name w:val="cit-vol2"/>
    <w:basedOn w:val="DefaultParagraphFont"/>
    <w:rsid w:val="005E15C8"/>
  </w:style>
  <w:style w:type="character" w:customStyle="1" w:styleId="cit-first-page">
    <w:name w:val="cit-first-page"/>
    <w:basedOn w:val="DefaultParagraphFont"/>
    <w:rsid w:val="005E15C8"/>
  </w:style>
  <w:style w:type="character" w:customStyle="1" w:styleId="cit-last-page2">
    <w:name w:val="cit-last-page2"/>
    <w:basedOn w:val="DefaultParagraphFont"/>
    <w:rsid w:val="005E15C8"/>
  </w:style>
  <w:style w:type="character" w:customStyle="1" w:styleId="article-headermeta-info-data">
    <w:name w:val="article-header__meta-info-data"/>
    <w:basedOn w:val="DefaultParagraphFont"/>
    <w:rsid w:val="005E15C8"/>
  </w:style>
  <w:style w:type="paragraph" w:customStyle="1" w:styleId="io-left">
    <w:name w:val="io-left"/>
    <w:basedOn w:val="Normal"/>
    <w:rsid w:val="000F399E"/>
    <w:pPr>
      <w:spacing w:after="0"/>
    </w:pPr>
    <w:rPr>
      <w:rFonts w:ascii="Times New Roman" w:hAnsi="Times New Roman"/>
      <w:kern w:val="0"/>
      <w:sz w:val="24"/>
      <w14:ligatures w14:val="none"/>
      <w14:stylisticSets/>
      <w14:cntxtAlts w14:val="0"/>
    </w:rPr>
  </w:style>
  <w:style w:type="character" w:customStyle="1" w:styleId="slug-doi">
    <w:name w:val="slug-doi"/>
    <w:basedOn w:val="DefaultParagraphFont"/>
    <w:rsid w:val="00C85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526503">
      <w:bodyDiv w:val="1"/>
      <w:marLeft w:val="0"/>
      <w:marRight w:val="0"/>
      <w:marTop w:val="0"/>
      <w:marBottom w:val="0"/>
      <w:divBdr>
        <w:top w:val="none" w:sz="0" w:space="0" w:color="auto"/>
        <w:left w:val="none" w:sz="0" w:space="0" w:color="auto"/>
        <w:bottom w:val="none" w:sz="0" w:space="0" w:color="auto"/>
        <w:right w:val="none" w:sz="0" w:space="0" w:color="auto"/>
      </w:divBdr>
      <w:divsChild>
        <w:div w:id="504437372">
          <w:marLeft w:val="0"/>
          <w:marRight w:val="0"/>
          <w:marTop w:val="0"/>
          <w:marBottom w:val="0"/>
          <w:divBdr>
            <w:top w:val="none" w:sz="0" w:space="0" w:color="auto"/>
            <w:left w:val="none" w:sz="0" w:space="0" w:color="auto"/>
            <w:bottom w:val="none" w:sz="0" w:space="0" w:color="auto"/>
            <w:right w:val="none" w:sz="0" w:space="0" w:color="auto"/>
          </w:divBdr>
          <w:divsChild>
            <w:div w:id="2003586831">
              <w:marLeft w:val="0"/>
              <w:marRight w:val="0"/>
              <w:marTop w:val="0"/>
              <w:marBottom w:val="240"/>
              <w:divBdr>
                <w:top w:val="none" w:sz="0" w:space="0" w:color="auto"/>
                <w:left w:val="none" w:sz="0" w:space="0" w:color="auto"/>
                <w:bottom w:val="none" w:sz="0" w:space="0" w:color="auto"/>
                <w:right w:val="none" w:sz="0" w:space="0" w:color="auto"/>
              </w:divBdr>
              <w:divsChild>
                <w:div w:id="19352800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06475061">
      <w:bodyDiv w:val="1"/>
      <w:marLeft w:val="0"/>
      <w:marRight w:val="0"/>
      <w:marTop w:val="0"/>
      <w:marBottom w:val="0"/>
      <w:divBdr>
        <w:top w:val="none" w:sz="0" w:space="0" w:color="auto"/>
        <w:left w:val="none" w:sz="0" w:space="0" w:color="auto"/>
        <w:bottom w:val="none" w:sz="0" w:space="0" w:color="auto"/>
        <w:right w:val="none" w:sz="0" w:space="0" w:color="auto"/>
      </w:divBdr>
      <w:divsChild>
        <w:div w:id="1212113190">
          <w:marLeft w:val="0"/>
          <w:marRight w:val="0"/>
          <w:marTop w:val="0"/>
          <w:marBottom w:val="0"/>
          <w:divBdr>
            <w:top w:val="none" w:sz="0" w:space="0" w:color="auto"/>
            <w:left w:val="none" w:sz="0" w:space="0" w:color="auto"/>
            <w:bottom w:val="none" w:sz="0" w:space="0" w:color="auto"/>
            <w:right w:val="none" w:sz="0" w:space="0" w:color="auto"/>
          </w:divBdr>
          <w:divsChild>
            <w:div w:id="1489321386">
              <w:marLeft w:val="0"/>
              <w:marRight w:val="0"/>
              <w:marTop w:val="0"/>
              <w:marBottom w:val="0"/>
              <w:divBdr>
                <w:top w:val="none" w:sz="0" w:space="0" w:color="auto"/>
                <w:left w:val="none" w:sz="0" w:space="0" w:color="auto"/>
                <w:bottom w:val="none" w:sz="0" w:space="0" w:color="auto"/>
                <w:right w:val="none" w:sz="0" w:space="0" w:color="auto"/>
              </w:divBdr>
              <w:divsChild>
                <w:div w:id="811949288">
                  <w:marLeft w:val="0"/>
                  <w:marRight w:val="0"/>
                  <w:marTop w:val="900"/>
                  <w:marBottom w:val="0"/>
                  <w:divBdr>
                    <w:top w:val="none" w:sz="0" w:space="0" w:color="auto"/>
                    <w:left w:val="none" w:sz="0" w:space="0" w:color="auto"/>
                    <w:bottom w:val="none" w:sz="0" w:space="0" w:color="auto"/>
                    <w:right w:val="none" w:sz="0" w:space="0" w:color="auto"/>
                  </w:divBdr>
                  <w:divsChild>
                    <w:div w:id="1745103019">
                      <w:marLeft w:val="0"/>
                      <w:marRight w:val="0"/>
                      <w:marTop w:val="0"/>
                      <w:marBottom w:val="0"/>
                      <w:divBdr>
                        <w:top w:val="none" w:sz="0" w:space="0" w:color="auto"/>
                        <w:left w:val="none" w:sz="0" w:space="0" w:color="auto"/>
                        <w:bottom w:val="none" w:sz="0" w:space="0" w:color="auto"/>
                        <w:right w:val="none" w:sz="0" w:space="0" w:color="auto"/>
                      </w:divBdr>
                      <w:divsChild>
                        <w:div w:id="1347439207">
                          <w:marLeft w:val="0"/>
                          <w:marRight w:val="0"/>
                          <w:marTop w:val="0"/>
                          <w:marBottom w:val="0"/>
                          <w:divBdr>
                            <w:top w:val="none" w:sz="0" w:space="0" w:color="auto"/>
                            <w:left w:val="none" w:sz="0" w:space="0" w:color="auto"/>
                            <w:bottom w:val="none" w:sz="0" w:space="0" w:color="auto"/>
                            <w:right w:val="none" w:sz="0" w:space="0" w:color="auto"/>
                          </w:divBdr>
                          <w:divsChild>
                            <w:div w:id="2073651403">
                              <w:marLeft w:val="0"/>
                              <w:marRight w:val="0"/>
                              <w:marTop w:val="0"/>
                              <w:marBottom w:val="0"/>
                              <w:divBdr>
                                <w:top w:val="none" w:sz="0" w:space="0" w:color="auto"/>
                                <w:left w:val="none" w:sz="0" w:space="0" w:color="auto"/>
                                <w:bottom w:val="none" w:sz="0" w:space="0" w:color="auto"/>
                                <w:right w:val="none" w:sz="0" w:space="0" w:color="auto"/>
                              </w:divBdr>
                              <w:divsChild>
                                <w:div w:id="1423599359">
                                  <w:marLeft w:val="0"/>
                                  <w:marRight w:val="0"/>
                                  <w:marTop w:val="0"/>
                                  <w:marBottom w:val="600"/>
                                  <w:divBdr>
                                    <w:top w:val="none" w:sz="0" w:space="0" w:color="auto"/>
                                    <w:left w:val="none" w:sz="0" w:space="0" w:color="auto"/>
                                    <w:bottom w:val="none" w:sz="0" w:space="0" w:color="auto"/>
                                    <w:right w:val="none" w:sz="0" w:space="0" w:color="auto"/>
                                  </w:divBdr>
                                  <w:divsChild>
                                    <w:div w:id="1539774931">
                                      <w:marLeft w:val="0"/>
                                      <w:marRight w:val="0"/>
                                      <w:marTop w:val="0"/>
                                      <w:marBottom w:val="0"/>
                                      <w:divBdr>
                                        <w:top w:val="none" w:sz="0" w:space="0" w:color="auto"/>
                                        <w:left w:val="none" w:sz="0" w:space="0" w:color="auto"/>
                                        <w:bottom w:val="none" w:sz="0" w:space="0" w:color="auto"/>
                                        <w:right w:val="none" w:sz="0" w:space="0" w:color="auto"/>
                                      </w:divBdr>
                                      <w:divsChild>
                                        <w:div w:id="1130899825">
                                          <w:marLeft w:val="0"/>
                                          <w:marRight w:val="0"/>
                                          <w:marTop w:val="0"/>
                                          <w:marBottom w:val="0"/>
                                          <w:divBdr>
                                            <w:top w:val="none" w:sz="0" w:space="0" w:color="auto"/>
                                            <w:left w:val="none" w:sz="0" w:space="0" w:color="auto"/>
                                            <w:bottom w:val="none" w:sz="0" w:space="0" w:color="auto"/>
                                            <w:right w:val="none" w:sz="0" w:space="0" w:color="auto"/>
                                          </w:divBdr>
                                          <w:divsChild>
                                            <w:div w:id="452405803">
                                              <w:marLeft w:val="0"/>
                                              <w:marRight w:val="0"/>
                                              <w:marTop w:val="0"/>
                                              <w:marBottom w:val="0"/>
                                              <w:divBdr>
                                                <w:top w:val="none" w:sz="0" w:space="0" w:color="auto"/>
                                                <w:left w:val="none" w:sz="0" w:space="0" w:color="auto"/>
                                                <w:bottom w:val="none" w:sz="0" w:space="0" w:color="auto"/>
                                                <w:right w:val="none" w:sz="0" w:space="0" w:color="auto"/>
                                              </w:divBdr>
                                              <w:divsChild>
                                                <w:div w:id="152718782">
                                                  <w:marLeft w:val="0"/>
                                                  <w:marRight w:val="0"/>
                                                  <w:marTop w:val="0"/>
                                                  <w:marBottom w:val="450"/>
                                                  <w:divBdr>
                                                    <w:top w:val="none" w:sz="0" w:space="0" w:color="auto"/>
                                                    <w:left w:val="none" w:sz="0" w:space="0" w:color="auto"/>
                                                    <w:bottom w:val="none" w:sz="0" w:space="0" w:color="auto"/>
                                                    <w:right w:val="none" w:sz="0" w:space="0" w:color="auto"/>
                                                  </w:divBdr>
                                                  <w:divsChild>
                                                    <w:div w:id="572351475">
                                                      <w:marLeft w:val="0"/>
                                                      <w:marRight w:val="0"/>
                                                      <w:marTop w:val="0"/>
                                                      <w:marBottom w:val="225"/>
                                                      <w:divBdr>
                                                        <w:top w:val="none" w:sz="0" w:space="0" w:color="auto"/>
                                                        <w:left w:val="none" w:sz="0" w:space="0" w:color="auto"/>
                                                        <w:bottom w:val="none" w:sz="0" w:space="0" w:color="auto"/>
                                                        <w:right w:val="none" w:sz="0" w:space="0" w:color="auto"/>
                                                      </w:divBdr>
                                                      <w:divsChild>
                                                        <w:div w:id="1149134569">
                                                          <w:marLeft w:val="0"/>
                                                          <w:marRight w:val="0"/>
                                                          <w:marTop w:val="0"/>
                                                          <w:marBottom w:val="0"/>
                                                          <w:divBdr>
                                                            <w:top w:val="none" w:sz="0" w:space="0" w:color="auto"/>
                                                            <w:left w:val="none" w:sz="0" w:space="0" w:color="auto"/>
                                                            <w:bottom w:val="none" w:sz="0" w:space="0" w:color="auto"/>
                                                            <w:right w:val="none" w:sz="0" w:space="0" w:color="auto"/>
                                                          </w:divBdr>
                                                          <w:divsChild>
                                                            <w:div w:id="683821777">
                                                              <w:marLeft w:val="0"/>
                                                              <w:marRight w:val="0"/>
                                                              <w:marTop w:val="0"/>
                                                              <w:marBottom w:val="343"/>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978732171">
      <w:bodyDiv w:val="1"/>
      <w:marLeft w:val="0"/>
      <w:marRight w:val="0"/>
      <w:marTop w:val="0"/>
      <w:marBottom w:val="0"/>
      <w:divBdr>
        <w:top w:val="none" w:sz="0" w:space="0" w:color="auto"/>
        <w:left w:val="none" w:sz="0" w:space="0" w:color="auto"/>
        <w:bottom w:val="none" w:sz="0" w:space="0" w:color="auto"/>
        <w:right w:val="none" w:sz="0" w:space="0" w:color="auto"/>
      </w:divBdr>
      <w:divsChild>
        <w:div w:id="1366100120">
          <w:marLeft w:val="0"/>
          <w:marRight w:val="0"/>
          <w:marTop w:val="100"/>
          <w:marBottom w:val="100"/>
          <w:divBdr>
            <w:top w:val="none" w:sz="0" w:space="0" w:color="auto"/>
            <w:left w:val="none" w:sz="0" w:space="0" w:color="auto"/>
            <w:bottom w:val="none" w:sz="0" w:space="0" w:color="auto"/>
            <w:right w:val="none" w:sz="0" w:space="0" w:color="auto"/>
          </w:divBdr>
          <w:divsChild>
            <w:div w:id="978193978">
              <w:marLeft w:val="0"/>
              <w:marRight w:val="0"/>
              <w:marTop w:val="0"/>
              <w:marBottom w:val="0"/>
              <w:divBdr>
                <w:top w:val="none" w:sz="0" w:space="0" w:color="auto"/>
                <w:left w:val="none" w:sz="0" w:space="0" w:color="auto"/>
                <w:bottom w:val="none" w:sz="0" w:space="0" w:color="auto"/>
                <w:right w:val="none" w:sz="0" w:space="0" w:color="auto"/>
              </w:divBdr>
              <w:divsChild>
                <w:div w:id="2117751035">
                  <w:marLeft w:val="105"/>
                  <w:marRight w:val="105"/>
                  <w:marTop w:val="105"/>
                  <w:marBottom w:val="105"/>
                  <w:divBdr>
                    <w:top w:val="none" w:sz="0" w:space="0" w:color="auto"/>
                    <w:left w:val="none" w:sz="0" w:space="0" w:color="auto"/>
                    <w:bottom w:val="none" w:sz="0" w:space="0" w:color="auto"/>
                    <w:right w:val="none" w:sz="0" w:space="0" w:color="auto"/>
                  </w:divBdr>
                  <w:divsChild>
                    <w:div w:id="1719669211">
                      <w:marLeft w:val="0"/>
                      <w:marRight w:val="0"/>
                      <w:marTop w:val="0"/>
                      <w:marBottom w:val="0"/>
                      <w:divBdr>
                        <w:top w:val="none" w:sz="0" w:space="0" w:color="auto"/>
                        <w:left w:val="none" w:sz="0" w:space="0" w:color="auto"/>
                        <w:bottom w:val="none" w:sz="0" w:space="0" w:color="auto"/>
                        <w:right w:val="none" w:sz="0" w:space="0" w:color="auto"/>
                      </w:divBdr>
                      <w:divsChild>
                        <w:div w:id="1427732554">
                          <w:marLeft w:val="0"/>
                          <w:marRight w:val="0"/>
                          <w:marTop w:val="0"/>
                          <w:marBottom w:val="0"/>
                          <w:divBdr>
                            <w:top w:val="none" w:sz="0" w:space="0" w:color="auto"/>
                            <w:left w:val="none" w:sz="0" w:space="0" w:color="auto"/>
                            <w:bottom w:val="none" w:sz="0" w:space="0" w:color="auto"/>
                            <w:right w:val="none" w:sz="0" w:space="0" w:color="auto"/>
                          </w:divBdr>
                          <w:divsChild>
                            <w:div w:id="996956699">
                              <w:marLeft w:val="0"/>
                              <w:marRight w:val="0"/>
                              <w:marTop w:val="0"/>
                              <w:marBottom w:val="0"/>
                              <w:divBdr>
                                <w:top w:val="none" w:sz="0" w:space="0" w:color="auto"/>
                                <w:left w:val="none" w:sz="0" w:space="0" w:color="auto"/>
                                <w:bottom w:val="none" w:sz="0" w:space="0" w:color="auto"/>
                                <w:right w:val="none" w:sz="0" w:space="0" w:color="auto"/>
                              </w:divBdr>
                              <w:divsChild>
                                <w:div w:id="1459835521">
                                  <w:marLeft w:val="0"/>
                                  <w:marRight w:val="0"/>
                                  <w:marTop w:val="0"/>
                                  <w:marBottom w:val="0"/>
                                  <w:divBdr>
                                    <w:top w:val="none" w:sz="0" w:space="0" w:color="auto"/>
                                    <w:left w:val="none" w:sz="0" w:space="0" w:color="auto"/>
                                    <w:bottom w:val="none" w:sz="0" w:space="0" w:color="auto"/>
                                    <w:right w:val="none" w:sz="0" w:space="0" w:color="auto"/>
                                  </w:divBdr>
                                  <w:divsChild>
                                    <w:div w:id="531647045">
                                      <w:marLeft w:val="105"/>
                                      <w:marRight w:val="105"/>
                                      <w:marTop w:val="105"/>
                                      <w:marBottom w:val="105"/>
                                      <w:divBdr>
                                        <w:top w:val="none" w:sz="0" w:space="0" w:color="auto"/>
                                        <w:left w:val="none" w:sz="0" w:space="0" w:color="auto"/>
                                        <w:bottom w:val="none" w:sz="0" w:space="0" w:color="auto"/>
                                        <w:right w:val="none" w:sz="0" w:space="0" w:color="auto"/>
                                      </w:divBdr>
                                      <w:divsChild>
                                        <w:div w:id="1972519011">
                                          <w:marLeft w:val="0"/>
                                          <w:marRight w:val="0"/>
                                          <w:marTop w:val="0"/>
                                          <w:marBottom w:val="0"/>
                                          <w:divBdr>
                                            <w:top w:val="none" w:sz="0" w:space="0" w:color="auto"/>
                                            <w:left w:val="none" w:sz="0" w:space="0" w:color="auto"/>
                                            <w:bottom w:val="none" w:sz="0" w:space="0" w:color="auto"/>
                                            <w:right w:val="none" w:sz="0" w:space="0" w:color="auto"/>
                                          </w:divBdr>
                                          <w:divsChild>
                                            <w:div w:id="1448625417">
                                              <w:marLeft w:val="0"/>
                                              <w:marRight w:val="0"/>
                                              <w:marTop w:val="0"/>
                                              <w:marBottom w:val="0"/>
                                              <w:divBdr>
                                                <w:top w:val="none" w:sz="0" w:space="0" w:color="auto"/>
                                                <w:left w:val="none" w:sz="0" w:space="0" w:color="auto"/>
                                                <w:bottom w:val="none" w:sz="0" w:space="0" w:color="auto"/>
                                                <w:right w:val="none" w:sz="0" w:space="0" w:color="auto"/>
                                              </w:divBdr>
                                              <w:divsChild>
                                                <w:div w:id="2097824421">
                                                  <w:marLeft w:val="0"/>
                                                  <w:marRight w:val="0"/>
                                                  <w:marTop w:val="0"/>
                                                  <w:marBottom w:val="0"/>
                                                  <w:divBdr>
                                                    <w:top w:val="none" w:sz="0" w:space="0" w:color="auto"/>
                                                    <w:left w:val="none" w:sz="0" w:space="0" w:color="auto"/>
                                                    <w:bottom w:val="none" w:sz="0" w:space="0" w:color="auto"/>
                                                    <w:right w:val="none" w:sz="0" w:space="0" w:color="auto"/>
                                                  </w:divBdr>
                                                  <w:divsChild>
                                                    <w:div w:id="1834099701">
                                                      <w:marLeft w:val="0"/>
                                                      <w:marRight w:val="0"/>
                                                      <w:marTop w:val="0"/>
                                                      <w:marBottom w:val="0"/>
                                                      <w:divBdr>
                                                        <w:top w:val="none" w:sz="0" w:space="0" w:color="auto"/>
                                                        <w:left w:val="none" w:sz="0" w:space="0" w:color="auto"/>
                                                        <w:bottom w:val="none" w:sz="0" w:space="0" w:color="auto"/>
                                                        <w:right w:val="none" w:sz="0" w:space="0" w:color="auto"/>
                                                      </w:divBdr>
                                                      <w:divsChild>
                                                        <w:div w:id="1616790505">
                                                          <w:marLeft w:val="0"/>
                                                          <w:marRight w:val="0"/>
                                                          <w:marTop w:val="0"/>
                                                          <w:marBottom w:val="0"/>
                                                          <w:divBdr>
                                                            <w:top w:val="none" w:sz="0" w:space="0" w:color="auto"/>
                                                            <w:left w:val="none" w:sz="0" w:space="0" w:color="auto"/>
                                                            <w:bottom w:val="none" w:sz="0" w:space="0" w:color="auto"/>
                                                            <w:right w:val="none" w:sz="0" w:space="0" w:color="auto"/>
                                                          </w:divBdr>
                                                          <w:divsChild>
                                                            <w:div w:id="1252542965">
                                                              <w:marLeft w:val="0"/>
                                                              <w:marRight w:val="0"/>
                                                              <w:marTop w:val="0"/>
                                                              <w:marBottom w:val="0"/>
                                                              <w:divBdr>
                                                                <w:top w:val="none" w:sz="0" w:space="0" w:color="auto"/>
                                                                <w:left w:val="none" w:sz="0" w:space="0" w:color="auto"/>
                                                                <w:bottom w:val="none" w:sz="0" w:space="0" w:color="auto"/>
                                                                <w:right w:val="none" w:sz="0" w:space="0" w:color="auto"/>
                                                              </w:divBdr>
                                                              <w:divsChild>
                                                                <w:div w:id="340356065">
                                                                  <w:marLeft w:val="105"/>
                                                                  <w:marRight w:val="105"/>
                                                                  <w:marTop w:val="105"/>
                                                                  <w:marBottom w:val="105"/>
                                                                  <w:divBdr>
                                                                    <w:top w:val="none" w:sz="0" w:space="0" w:color="auto"/>
                                                                    <w:left w:val="none" w:sz="0" w:space="0" w:color="auto"/>
                                                                    <w:bottom w:val="none" w:sz="0" w:space="0" w:color="auto"/>
                                                                    <w:right w:val="none" w:sz="0" w:space="0" w:color="auto"/>
                                                                  </w:divBdr>
                                                                  <w:divsChild>
                                                                    <w:div w:id="38360454">
                                                                      <w:marLeft w:val="0"/>
                                                                      <w:marRight w:val="0"/>
                                                                      <w:marTop w:val="0"/>
                                                                      <w:marBottom w:val="0"/>
                                                                      <w:divBdr>
                                                                        <w:top w:val="none" w:sz="0" w:space="0" w:color="auto"/>
                                                                        <w:left w:val="none" w:sz="0" w:space="0" w:color="auto"/>
                                                                        <w:bottom w:val="none" w:sz="0" w:space="0" w:color="auto"/>
                                                                        <w:right w:val="none" w:sz="0" w:space="0" w:color="auto"/>
                                                                      </w:divBdr>
                                                                      <w:divsChild>
                                                                        <w:div w:id="850337260">
                                                                          <w:marLeft w:val="0"/>
                                                                          <w:marRight w:val="0"/>
                                                                          <w:marTop w:val="0"/>
                                                                          <w:marBottom w:val="0"/>
                                                                          <w:divBdr>
                                                                            <w:top w:val="none" w:sz="0" w:space="0" w:color="auto"/>
                                                                            <w:left w:val="none" w:sz="0" w:space="0" w:color="auto"/>
                                                                            <w:bottom w:val="none" w:sz="0" w:space="0" w:color="auto"/>
                                                                            <w:right w:val="none" w:sz="0" w:space="0" w:color="auto"/>
                                                                          </w:divBdr>
                                                                          <w:divsChild>
                                                                            <w:div w:id="204566280">
                                                                              <w:marLeft w:val="0"/>
                                                                              <w:marRight w:val="0"/>
                                                                              <w:marTop w:val="0"/>
                                                                              <w:marBottom w:val="0"/>
                                                                              <w:divBdr>
                                                                                <w:top w:val="none" w:sz="0" w:space="0" w:color="auto"/>
                                                                                <w:left w:val="none" w:sz="0" w:space="0" w:color="auto"/>
                                                                                <w:bottom w:val="none" w:sz="0" w:space="0" w:color="auto"/>
                                                                                <w:right w:val="none" w:sz="0" w:space="0" w:color="auto"/>
                                                                              </w:divBdr>
                                                                              <w:divsChild>
                                                                                <w:div w:id="126703472">
                                                                                  <w:marLeft w:val="0"/>
                                                                                  <w:marRight w:val="0"/>
                                                                                  <w:marTop w:val="0"/>
                                                                                  <w:marBottom w:val="0"/>
                                                                                  <w:divBdr>
                                                                                    <w:top w:val="none" w:sz="0" w:space="0" w:color="auto"/>
                                                                                    <w:left w:val="none" w:sz="0" w:space="0" w:color="auto"/>
                                                                                    <w:bottom w:val="none" w:sz="0" w:space="0" w:color="auto"/>
                                                                                    <w:right w:val="none" w:sz="0" w:space="0" w:color="auto"/>
                                                                                  </w:divBdr>
                                                                                  <w:divsChild>
                                                                                    <w:div w:id="689841398">
                                                                                      <w:marLeft w:val="0"/>
                                                                                      <w:marRight w:val="0"/>
                                                                                      <w:marTop w:val="0"/>
                                                                                      <w:marBottom w:val="0"/>
                                                                                      <w:divBdr>
                                                                                        <w:top w:val="none" w:sz="0" w:space="0" w:color="auto"/>
                                                                                        <w:left w:val="none" w:sz="0" w:space="0" w:color="auto"/>
                                                                                        <w:bottom w:val="none" w:sz="0" w:space="0" w:color="auto"/>
                                                                                        <w:right w:val="none" w:sz="0" w:space="0" w:color="auto"/>
                                                                                      </w:divBdr>
                                                                                      <w:divsChild>
                                                                                        <w:div w:id="1777820957">
                                                                                          <w:marLeft w:val="0"/>
                                                                                          <w:marRight w:val="0"/>
                                                                                          <w:marTop w:val="0"/>
                                                                                          <w:marBottom w:val="0"/>
                                                                                          <w:divBdr>
                                                                                            <w:top w:val="none" w:sz="0" w:space="0" w:color="auto"/>
                                                                                            <w:left w:val="none" w:sz="0" w:space="0" w:color="auto"/>
                                                                                            <w:bottom w:val="none" w:sz="0" w:space="0" w:color="auto"/>
                                                                                            <w:right w:val="none" w:sz="0" w:space="0" w:color="auto"/>
                                                                                          </w:divBdr>
                                                                                          <w:divsChild>
                                                                                            <w:div w:id="1024552103">
                                                                                              <w:marLeft w:val="105"/>
                                                                                              <w:marRight w:val="105"/>
                                                                                              <w:marTop w:val="105"/>
                                                                                              <w:marBottom w:val="105"/>
                                                                                              <w:divBdr>
                                                                                                <w:top w:val="none" w:sz="0" w:space="0" w:color="auto"/>
                                                                                                <w:left w:val="none" w:sz="0" w:space="0" w:color="auto"/>
                                                                                                <w:bottom w:val="none" w:sz="0" w:space="0" w:color="auto"/>
                                                                                                <w:right w:val="none" w:sz="0" w:space="0" w:color="auto"/>
                                                                                              </w:divBdr>
                                                                                              <w:divsChild>
                                                                                                <w:div w:id="910117528">
                                                                                                  <w:marLeft w:val="0"/>
                                                                                                  <w:marRight w:val="0"/>
                                                                                                  <w:marTop w:val="0"/>
                                                                                                  <w:marBottom w:val="0"/>
                                                                                                  <w:divBdr>
                                                                                                    <w:top w:val="none" w:sz="0" w:space="0" w:color="auto"/>
                                                                                                    <w:left w:val="none" w:sz="0" w:space="0" w:color="auto"/>
                                                                                                    <w:bottom w:val="none" w:sz="0" w:space="0" w:color="auto"/>
                                                                                                    <w:right w:val="none" w:sz="0" w:space="0" w:color="auto"/>
                                                                                                  </w:divBdr>
                                                                                                  <w:divsChild>
                                                                                                    <w:div w:id="1453476263">
                                                                                                      <w:marLeft w:val="0"/>
                                                                                                      <w:marRight w:val="0"/>
                                                                                                      <w:marTop w:val="0"/>
                                                                                                      <w:marBottom w:val="0"/>
                                                                                                      <w:divBdr>
                                                                                                        <w:top w:val="none" w:sz="0" w:space="0" w:color="auto"/>
                                                                                                        <w:left w:val="none" w:sz="0" w:space="0" w:color="auto"/>
                                                                                                        <w:bottom w:val="none" w:sz="0" w:space="0" w:color="auto"/>
                                                                                                        <w:right w:val="none" w:sz="0" w:space="0" w:color="auto"/>
                                                                                                      </w:divBdr>
                                                                                                      <w:divsChild>
                                                                                                        <w:div w:id="2003198028">
                                                                                                          <w:marLeft w:val="0"/>
                                                                                                          <w:marRight w:val="0"/>
                                                                                                          <w:marTop w:val="0"/>
                                                                                                          <w:marBottom w:val="0"/>
                                                                                                          <w:divBdr>
                                                                                                            <w:top w:val="none" w:sz="0" w:space="0" w:color="auto"/>
                                                                                                            <w:left w:val="none" w:sz="0" w:space="0" w:color="auto"/>
                                                                                                            <w:bottom w:val="none" w:sz="0" w:space="0" w:color="auto"/>
                                                                                                            <w:right w:val="none" w:sz="0" w:space="0" w:color="auto"/>
                                                                                                          </w:divBdr>
                                                                                                          <w:divsChild>
                                                                                                            <w:div w:id="364722723">
                                                                                                              <w:marLeft w:val="105"/>
                                                                                                              <w:marRight w:val="105"/>
                                                                                                              <w:marTop w:val="105"/>
                                                                                                              <w:marBottom w:val="105"/>
                                                                                                              <w:divBdr>
                                                                                                                <w:top w:val="none" w:sz="0" w:space="0" w:color="auto"/>
                                                                                                                <w:left w:val="none" w:sz="0" w:space="0" w:color="auto"/>
                                                                                                                <w:bottom w:val="none" w:sz="0" w:space="0" w:color="auto"/>
                                                                                                                <w:right w:val="none" w:sz="0" w:space="0" w:color="auto"/>
                                                                                                              </w:divBdr>
                                                                                                              <w:divsChild>
                                                                                                                <w:div w:id="2043968044">
                                                                                                                  <w:marLeft w:val="0"/>
                                                                                                                  <w:marRight w:val="0"/>
                                                                                                                  <w:marTop w:val="0"/>
                                                                                                                  <w:marBottom w:val="0"/>
                                                                                                                  <w:divBdr>
                                                                                                                    <w:top w:val="none" w:sz="0" w:space="0" w:color="auto"/>
                                                                                                                    <w:left w:val="none" w:sz="0" w:space="0" w:color="auto"/>
                                                                                                                    <w:bottom w:val="none" w:sz="0" w:space="0" w:color="auto"/>
                                                                                                                    <w:right w:val="none" w:sz="0" w:space="0" w:color="auto"/>
                                                                                                                  </w:divBdr>
                                                                                                                  <w:divsChild>
                                                                                                                    <w:div w:id="2069722310">
                                                                                                                      <w:marLeft w:val="0"/>
                                                                                                                      <w:marRight w:val="0"/>
                                                                                                                      <w:marTop w:val="0"/>
                                                                                                                      <w:marBottom w:val="0"/>
                                                                                                                      <w:divBdr>
                                                                                                                        <w:top w:val="none" w:sz="0" w:space="0" w:color="auto"/>
                                                                                                                        <w:left w:val="none" w:sz="0" w:space="0" w:color="auto"/>
                                                                                                                        <w:bottom w:val="none" w:sz="0" w:space="0" w:color="auto"/>
                                                                                                                        <w:right w:val="none" w:sz="0" w:space="0" w:color="auto"/>
                                                                                                                      </w:divBdr>
                                                                                                                      <w:divsChild>
                                                                                                                        <w:div w:id="86926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3711435">
      <w:bodyDiv w:val="1"/>
      <w:marLeft w:val="0"/>
      <w:marRight w:val="0"/>
      <w:marTop w:val="0"/>
      <w:marBottom w:val="0"/>
      <w:divBdr>
        <w:top w:val="none" w:sz="0" w:space="0" w:color="auto"/>
        <w:left w:val="none" w:sz="0" w:space="0" w:color="auto"/>
        <w:bottom w:val="none" w:sz="0" w:space="0" w:color="auto"/>
        <w:right w:val="none" w:sz="0" w:space="0" w:color="auto"/>
      </w:divBdr>
      <w:divsChild>
        <w:div w:id="1219592006">
          <w:marLeft w:val="0"/>
          <w:marRight w:val="0"/>
          <w:marTop w:val="0"/>
          <w:marBottom w:val="0"/>
          <w:divBdr>
            <w:top w:val="none" w:sz="0" w:space="0" w:color="auto"/>
            <w:left w:val="none" w:sz="0" w:space="0" w:color="auto"/>
            <w:bottom w:val="none" w:sz="0" w:space="0" w:color="auto"/>
            <w:right w:val="none" w:sz="0" w:space="0" w:color="auto"/>
          </w:divBdr>
          <w:divsChild>
            <w:div w:id="1915817727">
              <w:marLeft w:val="0"/>
              <w:marRight w:val="0"/>
              <w:marTop w:val="0"/>
              <w:marBottom w:val="0"/>
              <w:divBdr>
                <w:top w:val="none" w:sz="0" w:space="0" w:color="auto"/>
                <w:left w:val="none" w:sz="0" w:space="0" w:color="auto"/>
                <w:bottom w:val="none" w:sz="0" w:space="0" w:color="auto"/>
                <w:right w:val="none" w:sz="0" w:space="0" w:color="auto"/>
              </w:divBdr>
              <w:divsChild>
                <w:div w:id="1033993538">
                  <w:marLeft w:val="0"/>
                  <w:marRight w:val="0"/>
                  <w:marTop w:val="900"/>
                  <w:marBottom w:val="0"/>
                  <w:divBdr>
                    <w:top w:val="none" w:sz="0" w:space="0" w:color="auto"/>
                    <w:left w:val="none" w:sz="0" w:space="0" w:color="auto"/>
                    <w:bottom w:val="none" w:sz="0" w:space="0" w:color="auto"/>
                    <w:right w:val="none" w:sz="0" w:space="0" w:color="auto"/>
                  </w:divBdr>
                  <w:divsChild>
                    <w:div w:id="478814669">
                      <w:marLeft w:val="0"/>
                      <w:marRight w:val="0"/>
                      <w:marTop w:val="0"/>
                      <w:marBottom w:val="0"/>
                      <w:divBdr>
                        <w:top w:val="none" w:sz="0" w:space="0" w:color="auto"/>
                        <w:left w:val="none" w:sz="0" w:space="0" w:color="auto"/>
                        <w:bottom w:val="none" w:sz="0" w:space="0" w:color="auto"/>
                        <w:right w:val="none" w:sz="0" w:space="0" w:color="auto"/>
                      </w:divBdr>
                      <w:divsChild>
                        <w:div w:id="965545719">
                          <w:marLeft w:val="0"/>
                          <w:marRight w:val="0"/>
                          <w:marTop w:val="0"/>
                          <w:marBottom w:val="0"/>
                          <w:divBdr>
                            <w:top w:val="none" w:sz="0" w:space="0" w:color="auto"/>
                            <w:left w:val="none" w:sz="0" w:space="0" w:color="auto"/>
                            <w:bottom w:val="none" w:sz="0" w:space="0" w:color="auto"/>
                            <w:right w:val="none" w:sz="0" w:space="0" w:color="auto"/>
                          </w:divBdr>
                          <w:divsChild>
                            <w:div w:id="335496975">
                              <w:marLeft w:val="0"/>
                              <w:marRight w:val="0"/>
                              <w:marTop w:val="0"/>
                              <w:marBottom w:val="0"/>
                              <w:divBdr>
                                <w:top w:val="none" w:sz="0" w:space="0" w:color="auto"/>
                                <w:left w:val="none" w:sz="0" w:space="0" w:color="auto"/>
                                <w:bottom w:val="none" w:sz="0" w:space="0" w:color="auto"/>
                                <w:right w:val="none" w:sz="0" w:space="0" w:color="auto"/>
                              </w:divBdr>
                              <w:divsChild>
                                <w:div w:id="1384450773">
                                  <w:marLeft w:val="0"/>
                                  <w:marRight w:val="0"/>
                                  <w:marTop w:val="0"/>
                                  <w:marBottom w:val="600"/>
                                  <w:divBdr>
                                    <w:top w:val="none" w:sz="0" w:space="0" w:color="auto"/>
                                    <w:left w:val="none" w:sz="0" w:space="0" w:color="auto"/>
                                    <w:bottom w:val="none" w:sz="0" w:space="0" w:color="auto"/>
                                    <w:right w:val="none" w:sz="0" w:space="0" w:color="auto"/>
                                  </w:divBdr>
                                  <w:divsChild>
                                    <w:div w:id="945111534">
                                      <w:marLeft w:val="0"/>
                                      <w:marRight w:val="0"/>
                                      <w:marTop w:val="0"/>
                                      <w:marBottom w:val="0"/>
                                      <w:divBdr>
                                        <w:top w:val="none" w:sz="0" w:space="0" w:color="auto"/>
                                        <w:left w:val="none" w:sz="0" w:space="0" w:color="auto"/>
                                        <w:bottom w:val="none" w:sz="0" w:space="0" w:color="auto"/>
                                        <w:right w:val="none" w:sz="0" w:space="0" w:color="auto"/>
                                      </w:divBdr>
                                      <w:divsChild>
                                        <w:div w:id="1462335281">
                                          <w:marLeft w:val="0"/>
                                          <w:marRight w:val="0"/>
                                          <w:marTop w:val="0"/>
                                          <w:marBottom w:val="0"/>
                                          <w:divBdr>
                                            <w:top w:val="none" w:sz="0" w:space="0" w:color="auto"/>
                                            <w:left w:val="none" w:sz="0" w:space="0" w:color="auto"/>
                                            <w:bottom w:val="none" w:sz="0" w:space="0" w:color="auto"/>
                                            <w:right w:val="none" w:sz="0" w:space="0" w:color="auto"/>
                                          </w:divBdr>
                                          <w:divsChild>
                                            <w:div w:id="2052026134">
                                              <w:marLeft w:val="0"/>
                                              <w:marRight w:val="0"/>
                                              <w:marTop w:val="0"/>
                                              <w:marBottom w:val="0"/>
                                              <w:divBdr>
                                                <w:top w:val="none" w:sz="0" w:space="0" w:color="auto"/>
                                                <w:left w:val="none" w:sz="0" w:space="0" w:color="auto"/>
                                                <w:bottom w:val="none" w:sz="0" w:space="0" w:color="auto"/>
                                                <w:right w:val="none" w:sz="0" w:space="0" w:color="auto"/>
                                              </w:divBdr>
                                              <w:divsChild>
                                                <w:div w:id="298997979">
                                                  <w:marLeft w:val="0"/>
                                                  <w:marRight w:val="0"/>
                                                  <w:marTop w:val="0"/>
                                                  <w:marBottom w:val="450"/>
                                                  <w:divBdr>
                                                    <w:top w:val="none" w:sz="0" w:space="0" w:color="auto"/>
                                                    <w:left w:val="none" w:sz="0" w:space="0" w:color="auto"/>
                                                    <w:bottom w:val="none" w:sz="0" w:space="0" w:color="auto"/>
                                                    <w:right w:val="none" w:sz="0" w:space="0" w:color="auto"/>
                                                  </w:divBdr>
                                                  <w:divsChild>
                                                    <w:div w:id="569967350">
                                                      <w:marLeft w:val="0"/>
                                                      <w:marRight w:val="0"/>
                                                      <w:marTop w:val="0"/>
                                                      <w:marBottom w:val="225"/>
                                                      <w:divBdr>
                                                        <w:top w:val="none" w:sz="0" w:space="0" w:color="auto"/>
                                                        <w:left w:val="none" w:sz="0" w:space="0" w:color="auto"/>
                                                        <w:bottom w:val="none" w:sz="0" w:space="0" w:color="auto"/>
                                                        <w:right w:val="none" w:sz="0" w:space="0" w:color="auto"/>
                                                      </w:divBdr>
                                                      <w:divsChild>
                                                        <w:div w:id="9796110">
                                                          <w:marLeft w:val="0"/>
                                                          <w:marRight w:val="0"/>
                                                          <w:marTop w:val="0"/>
                                                          <w:marBottom w:val="0"/>
                                                          <w:divBdr>
                                                            <w:top w:val="none" w:sz="0" w:space="0" w:color="auto"/>
                                                            <w:left w:val="none" w:sz="0" w:space="0" w:color="auto"/>
                                                            <w:bottom w:val="none" w:sz="0" w:space="0" w:color="auto"/>
                                                            <w:right w:val="none" w:sz="0" w:space="0" w:color="auto"/>
                                                          </w:divBdr>
                                                          <w:divsChild>
                                                            <w:div w:id="1338462527">
                                                              <w:marLeft w:val="0"/>
                                                              <w:marRight w:val="0"/>
                                                              <w:marTop w:val="0"/>
                                                              <w:marBottom w:val="343"/>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hyperlink" Target="https://doi.org/10.3390/admsci3030076" TargetMode="External"/><Relationship Id="rId26" Type="http://schemas.openxmlformats.org/officeDocument/2006/relationships/hyperlink" Target="https://doi.org/10.11120/pblh.2013.00003"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s://doi.org/10.5465/AMJ.2005.18803921" TargetMode="External"/><Relationship Id="rId34" Type="http://schemas.openxmlformats.org/officeDocument/2006/relationships/header" Target="header1.xml"/><Relationship Id="rId42" Type="http://schemas.microsoft.com/office/2011/relationships/people" Target="people.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hyperlink" Target="https://doi.org/10.1002/casp.2287" TargetMode="External"/><Relationship Id="rId25" Type="http://schemas.openxmlformats.org/officeDocument/2006/relationships/hyperlink" Target="https://doi.org/10.1080/13562517.2010.507311" TargetMode="External"/><Relationship Id="rId33" Type="http://schemas.openxmlformats.org/officeDocument/2006/relationships/image" Target="media/image6.jpeg"/><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doi.org/10.1177/0022185606070106" TargetMode="External"/><Relationship Id="rId20" Type="http://schemas.openxmlformats.org/officeDocument/2006/relationships/hyperlink" Target="https://doi.org/10.1177/1476750310362435" TargetMode="External"/><Relationship Id="rId29" Type="http://schemas.openxmlformats.org/officeDocument/2006/relationships/hyperlink" Target="https://doi.org/10.4018/978-1-4666-8856-8.ch014"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roy.Dux@usq.edu.au" TargetMode="External"/><Relationship Id="rId24" Type="http://schemas.openxmlformats.org/officeDocument/2006/relationships/hyperlink" Target="https://doi.org/10.1111/ijtd.12044" TargetMode="External"/><Relationship Id="rId32" Type="http://schemas.openxmlformats.org/officeDocument/2006/relationships/image" Target="media/image5.jpe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doi.org/10.28945/3959" TargetMode="External"/><Relationship Id="rId23" Type="http://schemas.openxmlformats.org/officeDocument/2006/relationships/hyperlink" Target="https://doi.org/10.1016/j.childyouth.2012.02.006" TargetMode="External"/><Relationship Id="rId28" Type="http://schemas.openxmlformats.org/officeDocument/2006/relationships/hyperlink" Target="https://doi.org/10.1016/j.edurev.2007.12.001" TargetMode="External"/><Relationship Id="rId36" Type="http://schemas.openxmlformats.org/officeDocument/2006/relationships/footer" Target="footer1.xml"/><Relationship Id="rId10" Type="http://schemas.openxmlformats.org/officeDocument/2006/relationships/hyperlink" Target="mailto:U1088270@umail.usq.edu.au" TargetMode="External"/><Relationship Id="rId19" Type="http://schemas.openxmlformats.org/officeDocument/2006/relationships/hyperlink" Target="https://doi.org/10.1080/14623940701425063" TargetMode="External"/><Relationship Id="rId31"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hyperlink" Target="mailto:Lee.Fergusson@usq.edu.au" TargetMode="External"/><Relationship Id="rId14" Type="http://schemas.openxmlformats.org/officeDocument/2006/relationships/image" Target="media/image3.jpeg"/><Relationship Id="rId22" Type="http://schemas.openxmlformats.org/officeDocument/2006/relationships/hyperlink" Target="https://doi.org/10.1080/03075070903216635" TargetMode="External"/><Relationship Id="rId27" Type="http://schemas.openxmlformats.org/officeDocument/2006/relationships/hyperlink" Target="https://doi.org/10.4135/9781446287880" TargetMode="External"/><Relationship Id="rId30" Type="http://schemas.openxmlformats.org/officeDocument/2006/relationships/hyperlink" Target="https://doi.org/10.1037/a0020424" TargetMode="External"/><Relationship Id="rId35"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3930"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09617B-BF91-451C-84CA-4E911DB2B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11</TotalTime>
  <Pages>17</Pages>
  <Words>8377</Words>
  <Characters>51631</Characters>
  <Application>Microsoft Office Word</Application>
  <DocSecurity>0</DocSecurity>
  <Lines>860</Lines>
  <Paragraphs>254</Paragraphs>
  <ScaleCrop>false</ScaleCrop>
  <HeadingPairs>
    <vt:vector size="2" baseType="variant">
      <vt:variant>
        <vt:lpstr>Title</vt:lpstr>
      </vt:variant>
      <vt:variant>
        <vt:i4>1</vt:i4>
      </vt:variant>
    </vt:vector>
  </HeadingPairs>
  <TitlesOfParts>
    <vt:vector size="1" baseType="lpstr">
      <vt:lpstr>Work-Based Learning and Research for Mid-Career Professionals: Professional Studies in Australia</vt:lpstr>
    </vt:vector>
  </TitlesOfParts>
  <Manager>Fay Sudweeks, Editor-in-Chief</Manager>
  <Company>Informing Science Institute</Company>
  <LinksUpToDate>false</LinksUpToDate>
  <CharactersWithSpaces>59754</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Work-Based Learning and Research for Mid-Career Professionals: Professional Studies in Australia</dc:title>
  <dc:creator>Lee Fergusson, Tim Allred, Troy Dux</dc:creator>
  <cp:keywords>work-based learning, work-based research, professional studies, reflective practice, mixed methods research, action research</cp:keywords>
  <cp:lastModifiedBy>elicohen</cp:lastModifiedBy>
  <cp:revision>3</cp:revision>
  <cp:lastPrinted>2008-07-03T23:19:00Z</cp:lastPrinted>
  <dcterms:created xsi:type="dcterms:W3CDTF">2018-02-17T23:30:00Z</dcterms:created>
  <dcterms:modified xsi:type="dcterms:W3CDTF">2018-02-17T23:41:00Z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urce">
    <vt:lpwstr>https://doi.org/10.28945/3930</vt:lpwstr>
  </property>
  <property fmtid="{D5CDD505-2E9C-101B-9397-08002B2CF9AE}" pid="3" name="Publisher">
    <vt:lpwstr>Informing Science Institute</vt:lpwstr>
  </property>
  <property fmtid="{D5CDD505-2E9C-101B-9397-08002B2CF9AE}" pid="4" name="Journal Name">
    <vt:lpwstr>Interdisciplinary Journal of E-Skills and Lifelong Learning</vt:lpwstr>
  </property>
  <property fmtid="{D5CDD505-2E9C-101B-9397-08002B2CF9AE}" pid="5" name="Editor">
    <vt:lpwstr>Fay Sudweeks</vt:lpwstr>
  </property>
</Properties>
</file>