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B8B5185" w14:textId="67DAE171" w:rsidR="00103886" w:rsidRDefault="006F6700" w:rsidP="003B4703">
      <w:pPr>
        <w:pStyle w:val="PaperTitle"/>
      </w:pPr>
      <w:bookmarkStart w:id="0" w:name="OLE_LINK9"/>
      <w:bookmarkStart w:id="1" w:name="OLE_LINK10"/>
      <w:r>
        <w:t xml:space="preserve">Students’ </w:t>
      </w:r>
      <w:r w:rsidR="00672E95">
        <w:t>A</w:t>
      </w:r>
      <w:r>
        <w:t xml:space="preserve">pproaches to </w:t>
      </w:r>
      <w:r w:rsidR="000878FD">
        <w:t>E</w:t>
      </w:r>
      <w:r>
        <w:t>-</w:t>
      </w:r>
      <w:r w:rsidR="00672E95">
        <w:t>L</w:t>
      </w:r>
      <w:r>
        <w:t>earn</w:t>
      </w:r>
      <w:r w:rsidR="00E50132">
        <w:t>i</w:t>
      </w:r>
      <w:r>
        <w:t xml:space="preserve">ng: </w:t>
      </w:r>
      <w:r w:rsidR="00672E95">
        <w:t>A</w:t>
      </w:r>
      <w:r>
        <w:t>nalyzing</w:t>
      </w:r>
      <w:r w:rsidR="00611B07">
        <w:t xml:space="preserve"> </w:t>
      </w:r>
      <w:r w:rsidR="00672E95">
        <w:t>C</w:t>
      </w:r>
      <w:r>
        <w:t>redit/</w:t>
      </w:r>
      <w:r w:rsidR="00672E95">
        <w:t>N</w:t>
      </w:r>
      <w:r>
        <w:t xml:space="preserve">oncredit and </w:t>
      </w:r>
      <w:r w:rsidR="00672E95">
        <w:t>H</w:t>
      </w:r>
      <w:r>
        <w:t>igh/</w:t>
      </w:r>
      <w:r w:rsidR="00672E95">
        <w:t>L</w:t>
      </w:r>
      <w:r>
        <w:t xml:space="preserve">ow </w:t>
      </w:r>
      <w:r w:rsidR="00672E95">
        <w:t>P</w:t>
      </w:r>
      <w:r>
        <w:t>erformers</w:t>
      </w:r>
    </w:p>
    <w:tbl>
      <w:tblPr>
        <w:tblStyle w:val="TableGrid"/>
        <w:tblW w:w="9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2538"/>
        <w:gridCol w:w="3420"/>
        <w:gridCol w:w="3150"/>
      </w:tblGrid>
      <w:tr w:rsidR="00ED1338" w:rsidRPr="00FA6E83" w14:paraId="65370376" w14:textId="77777777" w:rsidTr="005C0303">
        <w:tc>
          <w:tcPr>
            <w:tcW w:w="2538" w:type="dxa"/>
          </w:tcPr>
          <w:p w14:paraId="38BF2C0C" w14:textId="77777777" w:rsidR="00FA6E83" w:rsidRPr="00FA6E83" w:rsidRDefault="006F6700" w:rsidP="00DB3FF2">
            <w:pPr>
              <w:pStyle w:val="PaperInfo"/>
              <w:tabs>
                <w:tab w:val="clear" w:pos="2880"/>
              </w:tabs>
              <w:suppressAutoHyphens/>
            </w:pPr>
            <w:bookmarkStart w:id="2" w:name="OLE_LINK27"/>
            <w:bookmarkStart w:id="3" w:name="OLE_LINK28"/>
            <w:bookmarkStart w:id="4" w:name="OLE_LINK29"/>
            <w:bookmarkStart w:id="5" w:name="OLE_LINK30"/>
            <w:r>
              <w:t>Gwen Nugent*</w:t>
            </w:r>
          </w:p>
        </w:tc>
        <w:tc>
          <w:tcPr>
            <w:tcW w:w="3420" w:type="dxa"/>
          </w:tcPr>
          <w:p w14:paraId="19099D08" w14:textId="0C4D1F79" w:rsidR="00FA6E83" w:rsidRPr="00FA6E83" w:rsidRDefault="006F6700" w:rsidP="00616447">
            <w:pPr>
              <w:pStyle w:val="PaperInfo"/>
              <w:tabs>
                <w:tab w:val="clear" w:pos="2880"/>
              </w:tabs>
            </w:pPr>
            <w:r>
              <w:t xml:space="preserve">University of Nebraska-Lincoln, </w:t>
            </w:r>
            <w:r w:rsidR="007C114B">
              <w:t xml:space="preserve">Lincoln, NE, </w:t>
            </w:r>
            <w:r>
              <w:t>USA</w:t>
            </w:r>
          </w:p>
        </w:tc>
        <w:tc>
          <w:tcPr>
            <w:tcW w:w="3150" w:type="dxa"/>
          </w:tcPr>
          <w:p w14:paraId="20D9F920" w14:textId="13036671" w:rsidR="00FA6E83" w:rsidRPr="00FA6E83" w:rsidRDefault="00401830" w:rsidP="00616447">
            <w:pPr>
              <w:pStyle w:val="PaperInfo"/>
              <w:tabs>
                <w:tab w:val="clear" w:pos="2880"/>
              </w:tabs>
            </w:pPr>
            <w:hyperlink r:id="rId9" w:history="1">
              <w:r w:rsidR="00253945" w:rsidRPr="00C93649">
                <w:rPr>
                  <w:rStyle w:val="Hyperlink"/>
                </w:rPr>
                <w:t>gnugent@unl.edu</w:t>
              </w:r>
            </w:hyperlink>
            <w:r w:rsidR="00253945">
              <w:t xml:space="preserve"> </w:t>
            </w:r>
          </w:p>
        </w:tc>
      </w:tr>
      <w:tr w:rsidR="00ED1338" w:rsidRPr="00FA6E83" w14:paraId="2D748492" w14:textId="77777777" w:rsidTr="005C0303">
        <w:tc>
          <w:tcPr>
            <w:tcW w:w="2538" w:type="dxa"/>
          </w:tcPr>
          <w:p w14:paraId="0A8CA09C" w14:textId="77777777" w:rsidR="00FA6E83" w:rsidRPr="00FA6E83" w:rsidRDefault="006F6700" w:rsidP="00616447">
            <w:pPr>
              <w:pStyle w:val="PaperInfo"/>
              <w:tabs>
                <w:tab w:val="clear" w:pos="2880"/>
              </w:tabs>
            </w:pPr>
            <w:proofErr w:type="spellStart"/>
            <w:r>
              <w:t>Ashu</w:t>
            </w:r>
            <w:proofErr w:type="spellEnd"/>
            <w:r>
              <w:t xml:space="preserve"> Guru</w:t>
            </w:r>
          </w:p>
        </w:tc>
        <w:tc>
          <w:tcPr>
            <w:tcW w:w="3420" w:type="dxa"/>
          </w:tcPr>
          <w:p w14:paraId="4FFA32E0" w14:textId="04D1A691" w:rsidR="00FA6E83" w:rsidRPr="00FA6E83" w:rsidRDefault="006F6700" w:rsidP="00616447">
            <w:pPr>
              <w:pStyle w:val="PaperInfo"/>
              <w:tabs>
                <w:tab w:val="clear" w:pos="2880"/>
              </w:tabs>
            </w:pPr>
            <w:r>
              <w:t xml:space="preserve">University of Nebraska-Lincoln, </w:t>
            </w:r>
            <w:r w:rsidR="005719BD">
              <w:t xml:space="preserve">Lincoln, NE, </w:t>
            </w:r>
            <w:r>
              <w:t>USA</w:t>
            </w:r>
          </w:p>
        </w:tc>
        <w:tc>
          <w:tcPr>
            <w:tcW w:w="3150" w:type="dxa"/>
          </w:tcPr>
          <w:p w14:paraId="4C7E89AD" w14:textId="6432E012" w:rsidR="00FA6E83" w:rsidRPr="00DB3FF2" w:rsidRDefault="00401830" w:rsidP="00616447">
            <w:pPr>
              <w:pStyle w:val="PaperInfo"/>
              <w:tabs>
                <w:tab w:val="clear" w:pos="2880"/>
              </w:tabs>
            </w:pPr>
            <w:hyperlink r:id="rId10" w:history="1">
              <w:r w:rsidR="00253945" w:rsidRPr="00C93649">
                <w:rPr>
                  <w:rStyle w:val="Hyperlink"/>
                </w:rPr>
                <w:t>ashu.guru@unl.edu</w:t>
              </w:r>
            </w:hyperlink>
            <w:r w:rsidR="00253945">
              <w:t xml:space="preserve"> </w:t>
            </w:r>
          </w:p>
        </w:tc>
      </w:tr>
      <w:tr w:rsidR="001A314B" w:rsidRPr="00FA6E83" w14:paraId="78FE3D54" w14:textId="77777777" w:rsidTr="005C0303">
        <w:tc>
          <w:tcPr>
            <w:tcW w:w="2538" w:type="dxa"/>
          </w:tcPr>
          <w:p w14:paraId="6A0E9CE5" w14:textId="77777777" w:rsidR="001A314B" w:rsidRDefault="001A314B" w:rsidP="00616447">
            <w:pPr>
              <w:pStyle w:val="PaperInfo"/>
              <w:tabs>
                <w:tab w:val="clear" w:pos="2880"/>
              </w:tabs>
            </w:pPr>
            <w:r>
              <w:t xml:space="preserve">Deana </w:t>
            </w:r>
            <w:proofErr w:type="spellStart"/>
            <w:r>
              <w:t>Namuth</w:t>
            </w:r>
            <w:proofErr w:type="spellEnd"/>
            <w:r>
              <w:t>-Covert</w:t>
            </w:r>
          </w:p>
        </w:tc>
        <w:tc>
          <w:tcPr>
            <w:tcW w:w="3420" w:type="dxa"/>
          </w:tcPr>
          <w:p w14:paraId="4DA5DE73" w14:textId="52B0757D" w:rsidR="001A314B" w:rsidRDefault="001A314B" w:rsidP="00616447">
            <w:pPr>
              <w:pStyle w:val="PaperInfo"/>
              <w:tabs>
                <w:tab w:val="clear" w:pos="2880"/>
              </w:tabs>
            </w:pPr>
            <w:r>
              <w:t xml:space="preserve">The Ohio State University, </w:t>
            </w:r>
            <w:r w:rsidR="005719BD">
              <w:br/>
            </w:r>
            <w:r>
              <w:t>Wooster, OH, USA</w:t>
            </w:r>
          </w:p>
        </w:tc>
        <w:tc>
          <w:tcPr>
            <w:tcW w:w="3150" w:type="dxa"/>
          </w:tcPr>
          <w:p w14:paraId="6F53B2C6" w14:textId="6D1FED09" w:rsidR="001A314B" w:rsidRDefault="00401830" w:rsidP="00616447">
            <w:pPr>
              <w:pStyle w:val="PaperInfo"/>
              <w:tabs>
                <w:tab w:val="clear" w:pos="2880"/>
              </w:tabs>
            </w:pPr>
            <w:hyperlink r:id="rId11" w:history="1">
              <w:r w:rsidR="00253945" w:rsidRPr="00C93649">
                <w:rPr>
                  <w:rStyle w:val="Hyperlink"/>
                </w:rPr>
                <w:t>namuth-covert.1@osu.edu</w:t>
              </w:r>
            </w:hyperlink>
            <w:r w:rsidR="00253945">
              <w:t xml:space="preserve"> </w:t>
            </w:r>
          </w:p>
        </w:tc>
      </w:tr>
    </w:tbl>
    <w:p w14:paraId="4C83B2D4" w14:textId="77777777" w:rsidR="00145B34" w:rsidRPr="00145B34" w:rsidRDefault="00DB3FF2" w:rsidP="00C527A5">
      <w:pPr>
        <w:pStyle w:val="PaperInfo"/>
      </w:pPr>
      <w:bookmarkStart w:id="6" w:name="OLE_LINK24"/>
      <w:bookmarkStart w:id="7" w:name="OLE_LINK25"/>
      <w:bookmarkStart w:id="8" w:name="OLE_LINK26"/>
      <w:r>
        <w:t>* Corresponding author</w:t>
      </w:r>
    </w:p>
    <w:bookmarkEnd w:id="6"/>
    <w:bookmarkEnd w:id="7"/>
    <w:bookmarkEnd w:id="8"/>
    <w:p w14:paraId="73705DD5" w14:textId="77777777" w:rsidR="00145B34" w:rsidRPr="00843345" w:rsidRDefault="00C03B2C" w:rsidP="00AD1AA5">
      <w:pPr>
        <w:pStyle w:val="Heading1"/>
      </w:pPr>
      <w:r w:rsidRPr="00FA6E83">
        <w:t>Abstract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01"/>
        <w:gridCol w:w="6855"/>
      </w:tblGrid>
      <w:tr w:rsidR="00FA6E83" w:rsidRPr="00FA6E83" w14:paraId="3C483865" w14:textId="77777777" w:rsidTr="00E2209E">
        <w:tc>
          <w:tcPr>
            <w:tcW w:w="2016" w:type="dxa"/>
          </w:tcPr>
          <w:p w14:paraId="38CCA705" w14:textId="77777777" w:rsidR="00FA6E83" w:rsidRPr="00792FFD" w:rsidRDefault="00FA6E83" w:rsidP="00253945">
            <w:pPr>
              <w:pStyle w:val="PaperInfo"/>
            </w:pPr>
            <w:r w:rsidRPr="00792FFD">
              <w:t>Aim/Purpose</w:t>
            </w:r>
          </w:p>
        </w:tc>
        <w:tc>
          <w:tcPr>
            <w:tcW w:w="7207" w:type="dxa"/>
          </w:tcPr>
          <w:p w14:paraId="1E30415C" w14:textId="50F7A736" w:rsidR="00FA6E83" w:rsidRPr="00792FFD" w:rsidRDefault="001A314B" w:rsidP="00253945">
            <w:pPr>
              <w:pStyle w:val="PaperInfo"/>
            </w:pPr>
            <w:r w:rsidRPr="00792FFD">
              <w:t xml:space="preserve">This study examines differences in credit and noncredit users’ learning and usage of the Plant Sciences E-Library (PASSEL, </w:t>
            </w:r>
            <w:hyperlink r:id="rId12" w:history="1">
              <w:r w:rsidR="00253945" w:rsidRPr="00C93649">
                <w:rPr>
                  <w:rStyle w:val="Hyperlink"/>
                </w:rPr>
                <w:t>http://passel.unl.edu</w:t>
              </w:r>
            </w:hyperlink>
            <w:r w:rsidRPr="00792FFD">
              <w:t xml:space="preserve">), a large international, open-source multidisciplinary learning object repository.  </w:t>
            </w:r>
          </w:p>
        </w:tc>
      </w:tr>
      <w:tr w:rsidR="00FA6E83" w:rsidRPr="00FA6E83" w14:paraId="36B6EF9F" w14:textId="77777777" w:rsidTr="00E2209E">
        <w:tc>
          <w:tcPr>
            <w:tcW w:w="2016" w:type="dxa"/>
          </w:tcPr>
          <w:p w14:paraId="39A84997" w14:textId="77777777" w:rsidR="00FA6E83" w:rsidRPr="00792FFD" w:rsidRDefault="00FA6E83" w:rsidP="00253945">
            <w:pPr>
              <w:pStyle w:val="PaperInfo"/>
            </w:pPr>
            <w:r w:rsidRPr="00792FFD">
              <w:t>Background</w:t>
            </w:r>
          </w:p>
        </w:tc>
        <w:tc>
          <w:tcPr>
            <w:tcW w:w="7207" w:type="dxa"/>
          </w:tcPr>
          <w:p w14:paraId="081C09F7" w14:textId="77777777" w:rsidR="00FA6E83" w:rsidRPr="00792FFD" w:rsidRDefault="001A314B" w:rsidP="00253945">
            <w:pPr>
              <w:pStyle w:val="PaperInfo"/>
            </w:pPr>
            <w:r w:rsidRPr="00792FFD">
              <w:t>Advances in online education are helping educators to meet the needs of formal academic credit students, as well as informal noncredit learners.  Since online learning attracts learners with a wide variety of backgrounds and inte</w:t>
            </w:r>
            <w:r w:rsidRPr="00792FFD">
              <w:t>n</w:t>
            </w:r>
            <w:r w:rsidRPr="00792FFD">
              <w:t>tions, it is important understand learner behavior so that instructional r</w:t>
            </w:r>
            <w:r w:rsidRPr="00792FFD">
              <w:t>e</w:t>
            </w:r>
            <w:r w:rsidRPr="00792FFD">
              <w:t xml:space="preserve">sources can be designed to meet the diversity of learner motivations and needs.  </w:t>
            </w:r>
          </w:p>
        </w:tc>
      </w:tr>
      <w:tr w:rsidR="00FA6E83" w:rsidRPr="00FA6E83" w14:paraId="0E63EE93" w14:textId="77777777" w:rsidTr="00E2209E">
        <w:tc>
          <w:tcPr>
            <w:tcW w:w="2016" w:type="dxa"/>
          </w:tcPr>
          <w:p w14:paraId="231364A8" w14:textId="77777777" w:rsidR="00FA6E83" w:rsidRPr="00792FFD" w:rsidRDefault="00FA6E83" w:rsidP="00253945">
            <w:pPr>
              <w:pStyle w:val="PaperInfo"/>
            </w:pPr>
            <w:r w:rsidRPr="00792FFD">
              <w:t>Methodology</w:t>
            </w:r>
          </w:p>
        </w:tc>
        <w:tc>
          <w:tcPr>
            <w:tcW w:w="7207" w:type="dxa"/>
          </w:tcPr>
          <w:p w14:paraId="3A0935DB" w14:textId="77777777" w:rsidR="00FA6E83" w:rsidRPr="00792FFD" w:rsidRDefault="001A314B" w:rsidP="00253945">
            <w:pPr>
              <w:pStyle w:val="PaperInfo"/>
            </w:pPr>
            <w:r w:rsidRPr="00792FFD">
              <w:t>This research uses both descriptive statistics and cluster analysis.  The d</w:t>
            </w:r>
            <w:r w:rsidRPr="00792FFD">
              <w:t>e</w:t>
            </w:r>
            <w:r w:rsidRPr="00792FFD">
              <w:t xml:space="preserve">scriptive statistics address the research question of how credit learners differ from noncredit learners in using an international e-library of learning objects.  Cluster analysis identifies high and low credit/noncredit students based on their quiz scores and follow-up descriptive statistics to </w:t>
            </w:r>
            <w:r w:rsidR="00D8302B" w:rsidRPr="00792FFD">
              <w:t>(</w:t>
            </w:r>
            <w:r w:rsidRPr="00792FFD">
              <w:t xml:space="preserve">a) differentiate their usage patterns and </w:t>
            </w:r>
            <w:r w:rsidR="00D8302B" w:rsidRPr="00792FFD">
              <w:t>(</w:t>
            </w:r>
            <w:r w:rsidRPr="00792FFD">
              <w:t>b) help describe possible learning approaches (deep, su</w:t>
            </w:r>
            <w:r w:rsidRPr="00792FFD">
              <w:t>r</w:t>
            </w:r>
            <w:r w:rsidRPr="00792FFD">
              <w:t>face, and strategic).</w:t>
            </w:r>
          </w:p>
        </w:tc>
      </w:tr>
      <w:tr w:rsidR="00FA6E83" w:rsidRPr="00FA6E83" w14:paraId="2E879F79" w14:textId="77777777" w:rsidTr="00E2209E">
        <w:tc>
          <w:tcPr>
            <w:tcW w:w="2016" w:type="dxa"/>
          </w:tcPr>
          <w:p w14:paraId="2AC432FA" w14:textId="77777777" w:rsidR="00FA6E83" w:rsidRPr="00792FFD" w:rsidRDefault="00FA6E83" w:rsidP="00253945">
            <w:pPr>
              <w:pStyle w:val="PaperInfo"/>
            </w:pPr>
            <w:r w:rsidRPr="00792FFD">
              <w:t>Contribution</w:t>
            </w:r>
          </w:p>
        </w:tc>
        <w:tc>
          <w:tcPr>
            <w:tcW w:w="7207" w:type="dxa"/>
          </w:tcPr>
          <w:p w14:paraId="43E475CA" w14:textId="77777777" w:rsidR="00D47C1D" w:rsidRPr="00792FFD" w:rsidRDefault="001A314B" w:rsidP="00253945">
            <w:pPr>
              <w:pStyle w:val="PaperInfo"/>
            </w:pPr>
            <w:r w:rsidRPr="00792FFD">
              <w:t>This research is unique in its use of objective, web-tracking data and its novel use of clustering and descriptive analytic approaches to compare credit and noncredit learners’ online behavior of the same educational materials.  It is also one of the first to begin to identify learning a</w:t>
            </w:r>
            <w:r w:rsidR="00D47C1D" w:rsidRPr="00792FFD">
              <w:t xml:space="preserve">pproaches of </w:t>
            </w:r>
            <w:r w:rsidR="00D8302B" w:rsidRPr="00792FFD">
              <w:t xml:space="preserve">the </w:t>
            </w:r>
            <w:r w:rsidR="00D47C1D" w:rsidRPr="00792FFD">
              <w:t>noncredit learner</w:t>
            </w:r>
            <w:r w:rsidR="00D8302B" w:rsidRPr="00792FFD">
              <w:t>.</w:t>
            </w:r>
          </w:p>
        </w:tc>
      </w:tr>
      <w:tr w:rsidR="00FA6E83" w:rsidRPr="00FA6E83" w14:paraId="4DFFC2AF" w14:textId="77777777" w:rsidTr="00E2209E">
        <w:tc>
          <w:tcPr>
            <w:tcW w:w="2016" w:type="dxa"/>
          </w:tcPr>
          <w:p w14:paraId="23FDBDAD" w14:textId="77777777" w:rsidR="00FA6E83" w:rsidRPr="00792FFD" w:rsidRDefault="00FA6E83" w:rsidP="00253945">
            <w:pPr>
              <w:pStyle w:val="PaperInfo"/>
            </w:pPr>
            <w:r w:rsidRPr="00792FFD">
              <w:lastRenderedPageBreak/>
              <w:t>Findings</w:t>
            </w:r>
          </w:p>
        </w:tc>
        <w:tc>
          <w:tcPr>
            <w:tcW w:w="7207" w:type="dxa"/>
          </w:tcPr>
          <w:p w14:paraId="58624BB8" w14:textId="77777777" w:rsidR="00FA6E83" w:rsidRPr="00792FFD" w:rsidRDefault="00D47C1D" w:rsidP="00253945">
            <w:pPr>
              <w:pStyle w:val="PaperInfo"/>
            </w:pPr>
            <w:r w:rsidRPr="00792FFD">
              <w:t xml:space="preserve">Results showed that credit users scored higher on quizzes and spent more time on the online quizzes and lessons than did noncredit learners, suggesting their academic orientation.  Similarly, high credit scorers spent more time on individual lessons and quizzes than did the low scorers.  The most striking difference </w:t>
            </w:r>
            <w:r w:rsidR="002A0436" w:rsidRPr="00792FFD">
              <w:t>among</w:t>
            </w:r>
            <w:r w:rsidRPr="00792FFD">
              <w:t xml:space="preserve"> noncredit learners was in session times, with the low sco</w:t>
            </w:r>
            <w:r w:rsidRPr="00792FFD">
              <w:t>r</w:t>
            </w:r>
            <w:r w:rsidRPr="00792FFD">
              <w:t xml:space="preserve">ers spending more time in a session, suggesting more browsing behavior. Results were used to develop learner profiles for the four groups (high/low quiz scorers x credit/noncredit).  </w:t>
            </w:r>
          </w:p>
        </w:tc>
      </w:tr>
      <w:tr w:rsidR="00FA6E83" w:rsidRPr="00FA6E83" w14:paraId="440D7C44" w14:textId="77777777" w:rsidTr="00E2209E">
        <w:tc>
          <w:tcPr>
            <w:tcW w:w="2016" w:type="dxa"/>
          </w:tcPr>
          <w:p w14:paraId="67DCA28A" w14:textId="3097384B" w:rsidR="00FA6E83" w:rsidRPr="00792FFD" w:rsidRDefault="00253945" w:rsidP="00253945">
            <w:pPr>
              <w:pStyle w:val="PaperInfo"/>
            </w:pPr>
            <w:r>
              <w:t>R</w:t>
            </w:r>
            <w:r w:rsidR="00FA6E83" w:rsidRPr="00792FFD">
              <w:t>ecommendation</w:t>
            </w:r>
            <w:r w:rsidR="00807F51" w:rsidRPr="00792FFD">
              <w:t>s</w:t>
            </w:r>
            <w:r w:rsidR="00FA6E83" w:rsidRPr="00792FFD">
              <w:t xml:space="preserve"> for Practitioners</w:t>
            </w:r>
          </w:p>
        </w:tc>
        <w:tc>
          <w:tcPr>
            <w:tcW w:w="7207" w:type="dxa"/>
          </w:tcPr>
          <w:p w14:paraId="165488B6" w14:textId="77777777" w:rsidR="00FA6E83" w:rsidRPr="00792FFD" w:rsidRDefault="001A314B" w:rsidP="00253945">
            <w:pPr>
              <w:pStyle w:val="PaperInfo"/>
            </w:pPr>
            <w:r w:rsidRPr="00792FFD">
              <w:t>These results provide preliminary insight for instructors or instructional d</w:t>
            </w:r>
            <w:r w:rsidRPr="00792FFD">
              <w:t>e</w:t>
            </w:r>
            <w:r w:rsidRPr="00792FFD">
              <w:t>signers.  For example, low scoring credit students are spending a reasonable amount of time on a lesson but still score low on the quiz.  Results suggest that they may need more online scaffolding or auto-generated guidance</w:t>
            </w:r>
            <w:r w:rsidR="00D8302B" w:rsidRPr="00792FFD">
              <w:t>,</w:t>
            </w:r>
            <w:r w:rsidRPr="00792FFD">
              <w:t xml:space="preserve"> such as the availability of relevant animations or the need to review certain parts of a lesson based on questions missed.</w:t>
            </w:r>
          </w:p>
        </w:tc>
      </w:tr>
      <w:tr w:rsidR="00FA6E83" w:rsidRPr="00FA6E83" w14:paraId="45166BC1" w14:textId="77777777" w:rsidTr="00E2209E">
        <w:tc>
          <w:tcPr>
            <w:tcW w:w="2016" w:type="dxa"/>
          </w:tcPr>
          <w:p w14:paraId="546527DA" w14:textId="34575769" w:rsidR="00FA6E83" w:rsidRPr="00792FFD" w:rsidRDefault="00FA6E83" w:rsidP="00253945">
            <w:pPr>
              <w:pStyle w:val="PaperInfo"/>
            </w:pPr>
            <w:r w:rsidRPr="00792FFD">
              <w:t>Recommendation</w:t>
            </w:r>
            <w:r w:rsidR="00E00027">
              <w:t>s</w:t>
            </w:r>
            <w:r w:rsidRPr="00792FFD">
              <w:t xml:space="preserve"> </w:t>
            </w:r>
            <w:r w:rsidRPr="00792FFD">
              <w:br/>
              <w:t xml:space="preserve">for Researchers </w:t>
            </w:r>
          </w:p>
        </w:tc>
        <w:tc>
          <w:tcPr>
            <w:tcW w:w="7207" w:type="dxa"/>
          </w:tcPr>
          <w:p w14:paraId="47B6A64B" w14:textId="4415F8BE" w:rsidR="00FA6E83" w:rsidRPr="00792FFD" w:rsidRDefault="001A314B" w:rsidP="00253945">
            <w:pPr>
              <w:pStyle w:val="PaperInfo"/>
            </w:pPr>
            <w:r w:rsidRPr="00792FFD">
              <w:t>The study showed the value of objective, web-tracking data and novel use of clustering and descriptive analytic approaches to compare different types of learners.  One conclusion of the study was that this web</w:t>
            </w:r>
            <w:r w:rsidR="00D8302B" w:rsidRPr="00792FFD">
              <w:t>-</w:t>
            </w:r>
            <w:r w:rsidRPr="00792FFD">
              <w:t xml:space="preserve">tracking data be combined with student self-report data to provide more validation of results.  Another conclusion was that demographic data from noncredit learners could be instrumental in further refining learning approaches for noncredit learners.  </w:t>
            </w:r>
          </w:p>
        </w:tc>
      </w:tr>
      <w:tr w:rsidR="00FA6E83" w:rsidRPr="00FA6E83" w14:paraId="2D404714" w14:textId="77777777" w:rsidTr="00E2209E">
        <w:tc>
          <w:tcPr>
            <w:tcW w:w="2016" w:type="dxa"/>
          </w:tcPr>
          <w:p w14:paraId="0830A328" w14:textId="77777777" w:rsidR="00FA6E83" w:rsidRPr="00792FFD" w:rsidRDefault="00ED1338" w:rsidP="00253945">
            <w:pPr>
              <w:pStyle w:val="PaperInfo"/>
            </w:pPr>
            <w:r w:rsidRPr="00792FFD">
              <w:t>Impact</w:t>
            </w:r>
            <w:r w:rsidR="00807F51" w:rsidRPr="00792FFD">
              <w:t xml:space="preserve"> on Society</w:t>
            </w:r>
          </w:p>
        </w:tc>
        <w:tc>
          <w:tcPr>
            <w:tcW w:w="7207" w:type="dxa"/>
          </w:tcPr>
          <w:p w14:paraId="4CEFF96A" w14:textId="77777777" w:rsidR="00FA6E83" w:rsidRPr="00792FFD" w:rsidRDefault="001A314B" w:rsidP="00253945">
            <w:pPr>
              <w:pStyle w:val="PaperInfo"/>
            </w:pPr>
            <w:r w:rsidRPr="00792FFD">
              <w:t>Learning object repositories, online courses, blended courses, and MOOCs often provide learners the option of moving freely among educational co</w:t>
            </w:r>
            <w:r w:rsidRPr="00792FFD">
              <w:t>n</w:t>
            </w:r>
            <w:r w:rsidRPr="00792FFD">
              <w:t>tent, choosing not only topics of interest but also formats of material they feel will advance their learning.  Since online learning is becoming more pr</w:t>
            </w:r>
            <w:r w:rsidRPr="00792FFD">
              <w:t>o</w:t>
            </w:r>
            <w:r w:rsidRPr="00792FFD">
              <w:t>lific and attracts learners with a wide variety of backgrounds and intentions, these results show the importance of understanding learner behavior so that e-learning instructional resources can be designed to meet the diversity of learner m</w:t>
            </w:r>
            <w:bookmarkStart w:id="9" w:name="_GoBack"/>
            <w:bookmarkEnd w:id="9"/>
            <w:r w:rsidRPr="00792FFD">
              <w:t>otivations and needs.</w:t>
            </w:r>
          </w:p>
        </w:tc>
      </w:tr>
      <w:tr w:rsidR="00FA6E83" w:rsidRPr="00FA6E83" w14:paraId="73C99523" w14:textId="77777777" w:rsidTr="00E2209E">
        <w:tc>
          <w:tcPr>
            <w:tcW w:w="2016" w:type="dxa"/>
          </w:tcPr>
          <w:p w14:paraId="15F38F81" w14:textId="77777777" w:rsidR="00FA6E83" w:rsidRPr="00792FFD" w:rsidRDefault="00675855" w:rsidP="00253945">
            <w:pPr>
              <w:pStyle w:val="PaperInfo"/>
            </w:pPr>
            <w:r w:rsidRPr="00792FFD">
              <w:t>Future Re</w:t>
            </w:r>
            <w:r w:rsidR="00FA6E83" w:rsidRPr="00792FFD">
              <w:t>search</w:t>
            </w:r>
          </w:p>
        </w:tc>
        <w:tc>
          <w:tcPr>
            <w:tcW w:w="7207" w:type="dxa"/>
          </w:tcPr>
          <w:p w14:paraId="3BD4F50C" w14:textId="21DB7CC2" w:rsidR="00FA6E83" w:rsidRPr="00792FFD" w:rsidRDefault="00CF6AB0" w:rsidP="00253945">
            <w:pPr>
              <w:pStyle w:val="PaperInfo"/>
            </w:pPr>
            <w:r w:rsidRPr="00792FFD">
              <w:t>Future research should combine web</w:t>
            </w:r>
            <w:r w:rsidR="00D8302B" w:rsidRPr="00792FFD">
              <w:t>-</w:t>
            </w:r>
            <w:r w:rsidRPr="00792FFD">
              <w:t>tracking data with student self-report to provide more validation of results.  In addition, collection of demographic data and disaggregation of noncredit student usage motivations would help further refining learning approaches for this growing population of online users.</w:t>
            </w:r>
          </w:p>
        </w:tc>
      </w:tr>
      <w:tr w:rsidR="00FA6E83" w:rsidRPr="00FA6E83" w14:paraId="3BF1B69A" w14:textId="77777777" w:rsidTr="00E2209E">
        <w:tc>
          <w:tcPr>
            <w:tcW w:w="2016" w:type="dxa"/>
          </w:tcPr>
          <w:p w14:paraId="176B605F" w14:textId="77777777" w:rsidR="00FA6E83" w:rsidRPr="00792FFD" w:rsidRDefault="00FA6E83" w:rsidP="00253945">
            <w:pPr>
              <w:pStyle w:val="PaperInfo"/>
            </w:pPr>
            <w:r w:rsidRPr="00792FFD">
              <w:t>Keywords</w:t>
            </w:r>
          </w:p>
        </w:tc>
        <w:tc>
          <w:tcPr>
            <w:tcW w:w="7207" w:type="dxa"/>
          </w:tcPr>
          <w:p w14:paraId="0D5CCB58" w14:textId="560CA543" w:rsidR="00FA6E83" w:rsidRPr="00792FFD" w:rsidRDefault="00CF6AB0" w:rsidP="00253945">
            <w:pPr>
              <w:pStyle w:val="PaperInfo"/>
            </w:pPr>
            <w:r w:rsidRPr="00792FFD">
              <w:t>learning object repository, learning approaches, noncredit learners, cluster analysis, web</w:t>
            </w:r>
            <w:r w:rsidR="00D8302B" w:rsidRPr="00792FFD">
              <w:t>-</w:t>
            </w:r>
            <w:r w:rsidRPr="00792FFD">
              <w:t xml:space="preserve">tracking data </w:t>
            </w:r>
          </w:p>
        </w:tc>
      </w:tr>
    </w:tbl>
    <w:bookmarkEnd w:id="0"/>
    <w:bookmarkEnd w:id="1"/>
    <w:bookmarkEnd w:id="2"/>
    <w:bookmarkEnd w:id="3"/>
    <w:bookmarkEnd w:id="4"/>
    <w:bookmarkEnd w:id="5"/>
    <w:p w14:paraId="188686F9" w14:textId="77777777" w:rsidR="00D44B6E" w:rsidRDefault="00D44B6E" w:rsidP="00D44B6E">
      <w:pPr>
        <w:pStyle w:val="Heading1"/>
      </w:pPr>
      <w:r>
        <w:t>Introduction</w:t>
      </w:r>
    </w:p>
    <w:p w14:paraId="3E4B5E60" w14:textId="2BEEE593" w:rsidR="009F34D6" w:rsidRPr="009F34D6" w:rsidRDefault="009F34D6" w:rsidP="00B501CC">
      <w:pPr>
        <w:rPr>
          <w:szCs w:val="22"/>
        </w:rPr>
      </w:pPr>
      <w:r w:rsidRPr="009F34D6">
        <w:t xml:space="preserve">Learning object repositories, online courses, blended courses, and MOOCs often provide learners the option of moving freely among educational content, choosing not only topics of interest but also formats of material they feel will advance their learning.  Since online learning attracts learners with a wide variety of backgrounds and intentions, it is important to understand learner behavior so that e-learning instructional resources can be designed to meet the diversity of learner motivations and needs.  </w:t>
      </w:r>
      <w:r w:rsidR="00145911">
        <w:t>Advances in online education are helping educators to meet the needs of formal academic credit students</w:t>
      </w:r>
      <w:r w:rsidR="00145911" w:rsidRPr="00C21435">
        <w:t xml:space="preserve"> and</w:t>
      </w:r>
      <w:r w:rsidR="00145911">
        <w:t xml:space="preserve"> informal noncredit learners, as well as targeting instructional needs of high versus low performers.</w:t>
      </w:r>
      <w:r w:rsidR="00145911">
        <w:rPr>
          <w:szCs w:val="22"/>
        </w:rPr>
        <w:t xml:space="preserve"> </w:t>
      </w:r>
      <w:r w:rsidRPr="009F34D6">
        <w:rPr>
          <w:szCs w:val="22"/>
        </w:rPr>
        <w:t>Researchers have examined a variety of differentiated learner behaviors or characte</w:t>
      </w:r>
      <w:r w:rsidRPr="009F34D6">
        <w:rPr>
          <w:szCs w:val="22"/>
        </w:rPr>
        <w:t>r</w:t>
      </w:r>
      <w:r w:rsidRPr="009F34D6">
        <w:rPr>
          <w:szCs w:val="22"/>
        </w:rPr>
        <w:t xml:space="preserve">istics of students participating in online learning.  For example, research has shown that there are distinct differences between credit learners (those working towards an academic certificate or degree) and noncredit learners (those using online learning to advance their own understanding). </w:t>
      </w:r>
      <w:r w:rsidRPr="00792FFD">
        <w:rPr>
          <w:szCs w:val="22"/>
        </w:rPr>
        <w:t xml:space="preserve">In an online humanities course where some participants were working towards academic credit and others were </w:t>
      </w:r>
      <w:r w:rsidRPr="00792FFD">
        <w:rPr>
          <w:szCs w:val="22"/>
        </w:rPr>
        <w:lastRenderedPageBreak/>
        <w:t>taking it more like a MOOC for noncredit, the academic credit students earned significantly higher final grades (</w:t>
      </w:r>
      <w:proofErr w:type="spellStart"/>
      <w:r w:rsidRPr="00792FFD">
        <w:rPr>
          <w:szCs w:val="22"/>
        </w:rPr>
        <w:t>Almeda</w:t>
      </w:r>
      <w:proofErr w:type="spellEnd"/>
      <w:r w:rsidR="00845555">
        <w:rPr>
          <w:szCs w:val="22"/>
        </w:rPr>
        <w:t xml:space="preserve"> et al.</w:t>
      </w:r>
      <w:r w:rsidRPr="00792FFD">
        <w:rPr>
          <w:szCs w:val="22"/>
        </w:rPr>
        <w:t xml:space="preserve">, 2018).  </w:t>
      </w:r>
      <w:proofErr w:type="spellStart"/>
      <w:r w:rsidRPr="00792FFD">
        <w:rPr>
          <w:szCs w:val="22"/>
        </w:rPr>
        <w:t>Kursun</w:t>
      </w:r>
      <w:proofErr w:type="spellEnd"/>
      <w:r w:rsidRPr="00792FFD">
        <w:rPr>
          <w:szCs w:val="22"/>
        </w:rPr>
        <w:t xml:space="preserve"> (2016) found online credit students scored significantly higher on quizzes, intrinsic and extrinsic goal orientation</w:t>
      </w:r>
      <w:r w:rsidR="007463AD">
        <w:rPr>
          <w:szCs w:val="22"/>
        </w:rPr>
        <w:t>,</w:t>
      </w:r>
      <w:r w:rsidRPr="00792FFD">
        <w:rPr>
          <w:szCs w:val="22"/>
        </w:rPr>
        <w:t xml:space="preserve"> and perception of course value.  Extrinsic goal orientation refers to the degree to which a learner is focus</w:t>
      </w:r>
      <w:r w:rsidRPr="009F34D6">
        <w:rPr>
          <w:szCs w:val="22"/>
        </w:rPr>
        <w:t>ed on obtaining rewards, grades, or positive evaluation from others.  Intrinsic orientation involves the learner’s participation in an activity for reasons such as self-driven challenge, curiosity, or mastery (</w:t>
      </w:r>
      <w:proofErr w:type="spellStart"/>
      <w:r w:rsidRPr="009F34D6">
        <w:rPr>
          <w:szCs w:val="22"/>
        </w:rPr>
        <w:t>Pintrich</w:t>
      </w:r>
      <w:proofErr w:type="spellEnd"/>
      <w:r w:rsidRPr="009F34D6">
        <w:rPr>
          <w:szCs w:val="22"/>
        </w:rPr>
        <w:t xml:space="preserve">, Smith, </w:t>
      </w:r>
      <w:proofErr w:type="spellStart"/>
      <w:r w:rsidRPr="009F34D6">
        <w:rPr>
          <w:szCs w:val="22"/>
        </w:rPr>
        <w:t>García</w:t>
      </w:r>
      <w:proofErr w:type="spellEnd"/>
      <w:r w:rsidRPr="009F34D6">
        <w:rPr>
          <w:szCs w:val="22"/>
        </w:rPr>
        <w:t xml:space="preserve">, &amp; </w:t>
      </w:r>
      <w:proofErr w:type="spellStart"/>
      <w:r w:rsidRPr="009F34D6">
        <w:rPr>
          <w:szCs w:val="22"/>
        </w:rPr>
        <w:t>McKe</w:t>
      </w:r>
      <w:r w:rsidR="00E109B9">
        <w:rPr>
          <w:szCs w:val="22"/>
        </w:rPr>
        <w:t>a</w:t>
      </w:r>
      <w:r w:rsidRPr="009F34D6">
        <w:rPr>
          <w:szCs w:val="22"/>
        </w:rPr>
        <w:t>chie</w:t>
      </w:r>
      <w:proofErr w:type="spellEnd"/>
      <w:r w:rsidRPr="009F34D6">
        <w:rPr>
          <w:szCs w:val="22"/>
        </w:rPr>
        <w:t>, 1991).</w:t>
      </w:r>
    </w:p>
    <w:p w14:paraId="305F42F2" w14:textId="3139E4C9" w:rsidR="009F34D6" w:rsidRDefault="009F34D6" w:rsidP="00632A81">
      <w:pPr>
        <w:rPr>
          <w:szCs w:val="22"/>
        </w:rPr>
      </w:pPr>
      <w:r w:rsidRPr="009F34D6">
        <w:rPr>
          <w:szCs w:val="22"/>
        </w:rPr>
        <w:t>Other research has identified classifications of learners based on their patterns of engagement with video lectures and assessments (</w:t>
      </w:r>
      <w:proofErr w:type="spellStart"/>
      <w:r w:rsidRPr="009F34D6">
        <w:rPr>
          <w:szCs w:val="22"/>
        </w:rPr>
        <w:t>Kizilcec</w:t>
      </w:r>
      <w:proofErr w:type="spellEnd"/>
      <w:r w:rsidRPr="009F34D6">
        <w:rPr>
          <w:szCs w:val="22"/>
        </w:rPr>
        <w:t xml:space="preserve">, </w:t>
      </w:r>
      <w:proofErr w:type="spellStart"/>
      <w:r w:rsidRPr="009F34D6">
        <w:rPr>
          <w:szCs w:val="22"/>
        </w:rPr>
        <w:t>Piech</w:t>
      </w:r>
      <w:proofErr w:type="spellEnd"/>
      <w:r w:rsidRPr="009F34D6">
        <w:rPr>
          <w:szCs w:val="22"/>
        </w:rPr>
        <w:t>, &amp; Schneider, 2013).  The researchers classified these MOOC (Massive Open Online Courses) participants as completing, auditing, disengaging, and sa</w:t>
      </w:r>
      <w:r w:rsidRPr="009F34D6">
        <w:rPr>
          <w:szCs w:val="22"/>
        </w:rPr>
        <w:t>m</w:t>
      </w:r>
      <w:r w:rsidRPr="009F34D6">
        <w:rPr>
          <w:szCs w:val="22"/>
        </w:rPr>
        <w:t>pling.  Completing learners are those who complete the majority of assessments; auditing are those who did assessments infrequently or at all; disengaging are those who did early assessments but then had a marked decrease in engagement; and sampling are those whose engagement with course mat</w:t>
      </w:r>
      <w:r w:rsidRPr="009F34D6">
        <w:rPr>
          <w:szCs w:val="22"/>
        </w:rPr>
        <w:t>e</w:t>
      </w:r>
      <w:r w:rsidRPr="009F34D6">
        <w:rPr>
          <w:szCs w:val="22"/>
        </w:rPr>
        <w:t>rials was only evident early in the class.  Research using both e-learning usage logs (</w:t>
      </w:r>
      <w:proofErr w:type="spellStart"/>
      <w:r w:rsidRPr="009F34D6">
        <w:rPr>
          <w:szCs w:val="22"/>
        </w:rPr>
        <w:t>Akçapınar</w:t>
      </w:r>
      <w:proofErr w:type="spellEnd"/>
      <w:r w:rsidRPr="009F34D6">
        <w:rPr>
          <w:szCs w:val="22"/>
        </w:rPr>
        <w:t>, 2016) and self-report use of e-learning materials (</w:t>
      </w:r>
      <w:proofErr w:type="spellStart"/>
      <w:r w:rsidRPr="009F34D6">
        <w:rPr>
          <w:szCs w:val="22"/>
        </w:rPr>
        <w:t>Speth</w:t>
      </w:r>
      <w:proofErr w:type="spellEnd"/>
      <w:r w:rsidR="007463AD">
        <w:rPr>
          <w:szCs w:val="22"/>
        </w:rPr>
        <w:t xml:space="preserve">, </w:t>
      </w:r>
      <w:r w:rsidR="007463AD" w:rsidRPr="00901549">
        <w:t>Lee, &amp; Hain</w:t>
      </w:r>
      <w:r w:rsidRPr="009F34D6">
        <w:rPr>
          <w:szCs w:val="22"/>
        </w:rPr>
        <w:t>., 2006</w:t>
      </w:r>
      <w:r w:rsidR="007463AD">
        <w:rPr>
          <w:szCs w:val="22"/>
        </w:rPr>
        <w:t xml:space="preserve">; </w:t>
      </w:r>
      <w:proofErr w:type="spellStart"/>
      <w:r w:rsidR="007463AD" w:rsidRPr="00901549">
        <w:t>Speth</w:t>
      </w:r>
      <w:proofErr w:type="spellEnd"/>
      <w:r w:rsidR="007463AD" w:rsidRPr="00901549">
        <w:t xml:space="preserve">, </w:t>
      </w:r>
      <w:proofErr w:type="spellStart"/>
      <w:r w:rsidR="007463AD" w:rsidRPr="00901549">
        <w:t>Namuth</w:t>
      </w:r>
      <w:proofErr w:type="spellEnd"/>
      <w:r w:rsidR="007463AD" w:rsidRPr="00901549">
        <w:t>, &amp; Lee</w:t>
      </w:r>
      <w:r w:rsidRPr="009F34D6">
        <w:rPr>
          <w:szCs w:val="22"/>
        </w:rPr>
        <w:t xml:space="preserve"> 2007) has shown that academic students can be categorized as deep, strategic or surface.  In the deep a</w:t>
      </w:r>
      <w:r w:rsidRPr="009F34D6">
        <w:rPr>
          <w:szCs w:val="22"/>
        </w:rPr>
        <w:t>p</w:t>
      </w:r>
      <w:r w:rsidRPr="009F34D6">
        <w:rPr>
          <w:szCs w:val="22"/>
        </w:rPr>
        <w:t xml:space="preserve">proach, the learner actively attempts to understand the material for the knowledge gain whereas in a surface approach the learner takes a passive participation to barely fulfill the academic or knowledge requirements (Biggs, 1987; </w:t>
      </w:r>
      <w:proofErr w:type="spellStart"/>
      <w:r w:rsidRPr="009F34D6">
        <w:rPr>
          <w:szCs w:val="22"/>
        </w:rPr>
        <w:t>Entwistle</w:t>
      </w:r>
      <w:proofErr w:type="spellEnd"/>
      <w:r w:rsidRPr="009F34D6">
        <w:rPr>
          <w:szCs w:val="22"/>
        </w:rPr>
        <w:t xml:space="preserve">, 1977; </w:t>
      </w:r>
      <w:proofErr w:type="spellStart"/>
      <w:r w:rsidRPr="009F34D6">
        <w:rPr>
          <w:szCs w:val="22"/>
        </w:rPr>
        <w:t>Entwistle</w:t>
      </w:r>
      <w:proofErr w:type="spellEnd"/>
      <w:r w:rsidRPr="009F34D6">
        <w:rPr>
          <w:szCs w:val="22"/>
        </w:rPr>
        <w:t xml:space="preserve"> &amp; Ramsden, 2015; </w:t>
      </w:r>
      <w:proofErr w:type="spellStart"/>
      <w:r w:rsidRPr="009F34D6">
        <w:rPr>
          <w:szCs w:val="22"/>
        </w:rPr>
        <w:t>Marton</w:t>
      </w:r>
      <w:proofErr w:type="spellEnd"/>
      <w:r w:rsidRPr="009F34D6">
        <w:rPr>
          <w:szCs w:val="22"/>
        </w:rPr>
        <w:t xml:space="preserve"> &amp; </w:t>
      </w:r>
      <w:proofErr w:type="spellStart"/>
      <w:r w:rsidRPr="009F34D6">
        <w:rPr>
          <w:szCs w:val="22"/>
        </w:rPr>
        <w:t>Säljö</w:t>
      </w:r>
      <w:proofErr w:type="spellEnd"/>
      <w:r w:rsidRPr="009F34D6">
        <w:rPr>
          <w:szCs w:val="22"/>
        </w:rPr>
        <w:t>, 1976).  In a strategic approach, the learner takes an organized approach where the motivation is to score higher in assessments; learners modify their learning behavior based upon the assessment requirements (Go</w:t>
      </w:r>
      <w:r w:rsidRPr="009F34D6">
        <w:rPr>
          <w:szCs w:val="22"/>
        </w:rPr>
        <w:t>r</w:t>
      </w:r>
      <w:r w:rsidRPr="009F34D6">
        <w:rPr>
          <w:szCs w:val="22"/>
        </w:rPr>
        <w:t xml:space="preserve">don &amp; Debus, 2002).  In a noncredit situation, </w:t>
      </w:r>
      <w:r w:rsidR="002F3646">
        <w:rPr>
          <w:szCs w:val="22"/>
        </w:rPr>
        <w:t>l</w:t>
      </w:r>
      <w:r w:rsidRPr="009F34D6">
        <w:rPr>
          <w:szCs w:val="22"/>
        </w:rPr>
        <w:t>earners modify their learning behavior based on pe</w:t>
      </w:r>
      <w:r w:rsidRPr="009F34D6">
        <w:rPr>
          <w:szCs w:val="22"/>
        </w:rPr>
        <w:t>r</w:t>
      </w:r>
      <w:r w:rsidRPr="009F34D6">
        <w:rPr>
          <w:szCs w:val="22"/>
        </w:rPr>
        <w:t>sonal goals or external motivation for learning the material.</w:t>
      </w:r>
    </w:p>
    <w:p w14:paraId="5197FFC6" w14:textId="77777777" w:rsidR="009F34D6" w:rsidRPr="006C5824" w:rsidRDefault="009F34D6" w:rsidP="00611B07">
      <w:pPr>
        <w:rPr>
          <w:szCs w:val="22"/>
        </w:rPr>
      </w:pPr>
      <w:r w:rsidRPr="009F34D6">
        <w:rPr>
          <w:szCs w:val="22"/>
        </w:rPr>
        <w:t>Student time on task in traditional face-to-face courses has historically been considered an important prerequisite for successful learning (</w:t>
      </w:r>
      <w:proofErr w:type="spellStart"/>
      <w:r w:rsidRPr="009F34D6">
        <w:rPr>
          <w:szCs w:val="22"/>
        </w:rPr>
        <w:t>Bransford</w:t>
      </w:r>
      <w:proofErr w:type="spellEnd"/>
      <w:r w:rsidRPr="009F34D6">
        <w:rPr>
          <w:szCs w:val="22"/>
        </w:rPr>
        <w:t>, Brown, &amp; Cocking, 2000; Stallings, 1980).  Time var</w:t>
      </w:r>
      <w:r w:rsidRPr="009F34D6">
        <w:rPr>
          <w:szCs w:val="22"/>
        </w:rPr>
        <w:t>i</w:t>
      </w:r>
      <w:r w:rsidRPr="009F34D6">
        <w:rPr>
          <w:szCs w:val="22"/>
        </w:rPr>
        <w:t xml:space="preserve">ables also represent evidence of student engagement and effort with the material, which have been shown to be related to student learning in online courses (Kim, Park, </w:t>
      </w:r>
      <w:proofErr w:type="spellStart"/>
      <w:r w:rsidRPr="009F34D6">
        <w:rPr>
          <w:szCs w:val="22"/>
        </w:rPr>
        <w:t>Cozart</w:t>
      </w:r>
      <w:proofErr w:type="spellEnd"/>
      <w:r w:rsidRPr="009F34D6">
        <w:rPr>
          <w:szCs w:val="22"/>
        </w:rPr>
        <w:t xml:space="preserve">, &amp; Lee, 2015; </w:t>
      </w:r>
      <w:proofErr w:type="spellStart"/>
      <w:r w:rsidRPr="009F34D6">
        <w:rPr>
          <w:szCs w:val="22"/>
        </w:rPr>
        <w:t>Puzzife</w:t>
      </w:r>
      <w:r w:rsidRPr="009F34D6">
        <w:rPr>
          <w:szCs w:val="22"/>
        </w:rPr>
        <w:t>r</w:t>
      </w:r>
      <w:r w:rsidRPr="009F34D6">
        <w:rPr>
          <w:szCs w:val="22"/>
        </w:rPr>
        <w:t>ro</w:t>
      </w:r>
      <w:proofErr w:type="spellEnd"/>
      <w:r w:rsidRPr="009F34D6">
        <w:rPr>
          <w:szCs w:val="22"/>
        </w:rPr>
        <w:t>, 2008).  Previous research has examined student use of time across various MOOC course co</w:t>
      </w:r>
      <w:r w:rsidRPr="009F34D6">
        <w:rPr>
          <w:szCs w:val="22"/>
        </w:rPr>
        <w:t>m</w:t>
      </w:r>
      <w:r w:rsidRPr="009F34D6">
        <w:rPr>
          <w:szCs w:val="22"/>
        </w:rPr>
        <w:t xml:space="preserve">ponents, finding little use of discussion and most time spent on lecture videos (Breslow et al., 2013).  Other research with learning object repositories found that most user time was spent on lessons, followed by animations and quizzes (Nugent et al., 2017).  Time spent on quizzes (whether a score is part of a grade or the learner is using the quiz to self-assess knowledge) can also be considered a reflection of effort since the quiz is the element with the most overt connection to learning.  A study examining the predictive levels of demographic, motivational, and usage data found that interaction with assessments was one of the few significant and consistent usage predictors of learning (Miller, </w:t>
      </w:r>
      <w:proofErr w:type="spellStart"/>
      <w:r w:rsidRPr="009F34D6">
        <w:rPr>
          <w:szCs w:val="22"/>
        </w:rPr>
        <w:t>Soh</w:t>
      </w:r>
      <w:proofErr w:type="spellEnd"/>
      <w:r w:rsidRPr="009F34D6">
        <w:rPr>
          <w:szCs w:val="22"/>
        </w:rPr>
        <w:t xml:space="preserve">, </w:t>
      </w:r>
      <w:proofErr w:type="spellStart"/>
      <w:r w:rsidRPr="009F34D6">
        <w:rPr>
          <w:szCs w:val="22"/>
        </w:rPr>
        <w:t>Samal</w:t>
      </w:r>
      <w:proofErr w:type="spellEnd"/>
      <w:r w:rsidRPr="009F34D6">
        <w:rPr>
          <w:szCs w:val="22"/>
        </w:rPr>
        <w:t xml:space="preserve">, </w:t>
      </w:r>
      <w:proofErr w:type="spellStart"/>
      <w:r w:rsidRPr="009F34D6">
        <w:rPr>
          <w:szCs w:val="22"/>
        </w:rPr>
        <w:t>Kupzyk</w:t>
      </w:r>
      <w:proofErr w:type="spellEnd"/>
      <w:r w:rsidRPr="009F34D6">
        <w:rPr>
          <w:szCs w:val="22"/>
        </w:rPr>
        <w:t>, &amp; Nugent, 2015).</w:t>
      </w:r>
      <w:r>
        <w:rPr>
          <w:szCs w:val="22"/>
        </w:rPr>
        <w:t xml:space="preserve"> </w:t>
      </w:r>
      <w:r w:rsidRPr="00792FFD">
        <w:rPr>
          <w:szCs w:val="22"/>
        </w:rPr>
        <w:t xml:space="preserve">While understanding student and learner perceptions and uses of online education materials is important, </w:t>
      </w:r>
      <w:r w:rsidRPr="006C5824">
        <w:rPr>
          <w:szCs w:val="22"/>
        </w:rPr>
        <w:t>little research literature exists regarding broader ac</w:t>
      </w:r>
      <w:r w:rsidRPr="006C5824">
        <w:rPr>
          <w:szCs w:val="22"/>
        </w:rPr>
        <w:t>a</w:t>
      </w:r>
      <w:r w:rsidRPr="006C5824">
        <w:rPr>
          <w:szCs w:val="22"/>
        </w:rPr>
        <w:t>demic student outcomes in agriculture sciences that result from using these electronic education tools (</w:t>
      </w:r>
      <w:proofErr w:type="spellStart"/>
      <w:r w:rsidRPr="006C5824">
        <w:rPr>
          <w:szCs w:val="22"/>
        </w:rPr>
        <w:t>Vickrey</w:t>
      </w:r>
      <w:proofErr w:type="spellEnd"/>
      <w:r w:rsidRPr="006C5824">
        <w:rPr>
          <w:szCs w:val="22"/>
        </w:rPr>
        <w:t>, Golick, &amp; Stains, 2018). Even less is known for noncredit learners as most studies focus on course completion data (</w:t>
      </w:r>
      <w:proofErr w:type="spellStart"/>
      <w:r w:rsidRPr="006C5824">
        <w:rPr>
          <w:szCs w:val="22"/>
        </w:rPr>
        <w:t>Albelbisi</w:t>
      </w:r>
      <w:proofErr w:type="spellEnd"/>
      <w:r w:rsidRPr="006C5824">
        <w:rPr>
          <w:szCs w:val="22"/>
        </w:rPr>
        <w:t xml:space="preserve">, </w:t>
      </w:r>
      <w:proofErr w:type="spellStart"/>
      <w:r w:rsidRPr="006C5824">
        <w:rPr>
          <w:szCs w:val="22"/>
        </w:rPr>
        <w:t>Yusop</w:t>
      </w:r>
      <w:proofErr w:type="spellEnd"/>
      <w:r w:rsidRPr="006C5824">
        <w:rPr>
          <w:szCs w:val="22"/>
        </w:rPr>
        <w:t xml:space="preserve">, &amp; </w:t>
      </w:r>
      <w:proofErr w:type="spellStart"/>
      <w:r w:rsidRPr="006C5824">
        <w:rPr>
          <w:szCs w:val="22"/>
        </w:rPr>
        <w:t>Mohd</w:t>
      </w:r>
      <w:proofErr w:type="spellEnd"/>
      <w:r w:rsidRPr="006C5824">
        <w:rPr>
          <w:szCs w:val="22"/>
        </w:rPr>
        <w:t xml:space="preserve"> </w:t>
      </w:r>
      <w:proofErr w:type="spellStart"/>
      <w:r w:rsidRPr="006C5824">
        <w:rPr>
          <w:szCs w:val="22"/>
        </w:rPr>
        <w:t>Salleh</w:t>
      </w:r>
      <w:proofErr w:type="spellEnd"/>
      <w:r w:rsidRPr="006C5824">
        <w:rPr>
          <w:szCs w:val="22"/>
        </w:rPr>
        <w:t>, 2018).</w:t>
      </w:r>
    </w:p>
    <w:p w14:paraId="55C35365" w14:textId="07F0EF74" w:rsidR="009F34D6" w:rsidRDefault="009F34D6" w:rsidP="001C39FB">
      <w:pPr>
        <w:rPr>
          <w:szCs w:val="22"/>
        </w:rPr>
      </w:pPr>
      <w:r w:rsidRPr="006C5824">
        <w:rPr>
          <w:szCs w:val="22"/>
        </w:rPr>
        <w:t>In addition to considering learning approaches by credit and noncredit students, it is also important to consider the variety of ways online learning tools and materials are utilized.  For example, learning object repositories contain small, portable educational materials that individually focus</w:t>
      </w:r>
      <w:r w:rsidRPr="00792FFD">
        <w:rPr>
          <w:szCs w:val="22"/>
        </w:rPr>
        <w:t xml:space="preserve"> on a single learning objective and can be used in diverse educational settings including face-to-face cour</w:t>
      </w:r>
      <w:r w:rsidRPr="00792FFD">
        <w:rPr>
          <w:szCs w:val="22"/>
        </w:rPr>
        <w:t>s</w:t>
      </w:r>
      <w:r w:rsidRPr="00792FFD">
        <w:rPr>
          <w:szCs w:val="22"/>
        </w:rPr>
        <w:t>es/educational events, completely online offerings or a mixture (</w:t>
      </w:r>
      <w:proofErr w:type="spellStart"/>
      <w:r w:rsidR="00947533" w:rsidRPr="00792FFD">
        <w:rPr>
          <w:szCs w:val="22"/>
        </w:rPr>
        <w:t>Koutsomitropoulos</w:t>
      </w:r>
      <w:proofErr w:type="spellEnd"/>
      <w:r w:rsidR="00947533" w:rsidRPr="00792FFD">
        <w:rPr>
          <w:szCs w:val="22"/>
        </w:rPr>
        <w:t xml:space="preserve"> &amp; </w:t>
      </w:r>
      <w:proofErr w:type="spellStart"/>
      <w:r w:rsidR="00947533" w:rsidRPr="00792FFD">
        <w:rPr>
          <w:szCs w:val="22"/>
        </w:rPr>
        <w:t>Solomou</w:t>
      </w:r>
      <w:proofErr w:type="spellEnd"/>
      <w:r w:rsidR="00947533" w:rsidRPr="00792FFD">
        <w:rPr>
          <w:szCs w:val="22"/>
        </w:rPr>
        <w:t>, 2018</w:t>
      </w:r>
      <w:r w:rsidR="00947533">
        <w:rPr>
          <w:szCs w:val="22"/>
        </w:rPr>
        <w:t xml:space="preserve">; </w:t>
      </w:r>
      <w:proofErr w:type="spellStart"/>
      <w:r w:rsidRPr="00792FFD">
        <w:rPr>
          <w:szCs w:val="22"/>
        </w:rPr>
        <w:t>Namuth</w:t>
      </w:r>
      <w:proofErr w:type="spellEnd"/>
      <w:r w:rsidRPr="00792FFD">
        <w:rPr>
          <w:szCs w:val="22"/>
        </w:rPr>
        <w:t>, Fritz, King, &amp; Boren, 2005; Nugent</w:t>
      </w:r>
      <w:r w:rsidR="00947533">
        <w:rPr>
          <w:szCs w:val="22"/>
        </w:rPr>
        <w:t xml:space="preserve"> et al.</w:t>
      </w:r>
      <w:r w:rsidRPr="00792FFD">
        <w:rPr>
          <w:szCs w:val="22"/>
        </w:rPr>
        <w:t xml:space="preserve">, 2016; Simpson, 2016;).  An entire course can also be completely online or a mixture of both online and face-to-face components (hybrid-delivered).  In a pilot study addressing baseline statistics knowledge required of graduate level social work students, Davis </w:t>
      </w:r>
      <w:r w:rsidR="00D26144">
        <w:rPr>
          <w:szCs w:val="22"/>
        </w:rPr>
        <w:t>and</w:t>
      </w:r>
      <w:r w:rsidRPr="00792FFD">
        <w:rPr>
          <w:szCs w:val="22"/>
        </w:rPr>
        <w:t xml:space="preserve"> </w:t>
      </w:r>
      <w:proofErr w:type="spellStart"/>
      <w:r w:rsidRPr="00792FFD">
        <w:rPr>
          <w:szCs w:val="22"/>
        </w:rPr>
        <w:t>Mirick</w:t>
      </w:r>
      <w:proofErr w:type="spellEnd"/>
      <w:r w:rsidRPr="00792FFD">
        <w:rPr>
          <w:szCs w:val="22"/>
        </w:rPr>
        <w:t xml:space="preserve"> (2017) compared results of credit students who took a traditional full semester-long face-to-face course with credit students who took a shortened non-credit hybrid </w:t>
      </w:r>
      <w:r w:rsidRPr="00792FFD">
        <w:rPr>
          <w:szCs w:val="22"/>
        </w:rPr>
        <w:lastRenderedPageBreak/>
        <w:t>course.  Results showed no significant differences in student statistical abilities, anxiety towards stati</w:t>
      </w:r>
      <w:r w:rsidRPr="00792FFD">
        <w:rPr>
          <w:szCs w:val="22"/>
        </w:rPr>
        <w:t>s</w:t>
      </w:r>
      <w:r w:rsidRPr="00792FFD">
        <w:rPr>
          <w:szCs w:val="22"/>
        </w:rPr>
        <w:t>tics</w:t>
      </w:r>
      <w:r w:rsidR="00D26144">
        <w:rPr>
          <w:szCs w:val="22"/>
        </w:rPr>
        <w:t>,</w:t>
      </w:r>
      <w:r w:rsidRPr="00792FFD">
        <w:rPr>
          <w:szCs w:val="22"/>
        </w:rPr>
        <w:t xml:space="preserve"> or belief about the importance of statistics in the social work profession.</w:t>
      </w:r>
    </w:p>
    <w:p w14:paraId="16A12430" w14:textId="35590D3F" w:rsidR="0064699E" w:rsidRDefault="009F34D6" w:rsidP="001C39FB">
      <w:pPr>
        <w:rPr>
          <w:szCs w:val="22"/>
        </w:rPr>
      </w:pPr>
      <w:r w:rsidRPr="006C5824">
        <w:rPr>
          <w:szCs w:val="22"/>
        </w:rPr>
        <w:t>The objective of this study is to examine diffe</w:t>
      </w:r>
      <w:r>
        <w:rPr>
          <w:szCs w:val="22"/>
        </w:rPr>
        <w:t xml:space="preserve">rences in credit and noncredit users’ learning and </w:t>
      </w:r>
      <w:r w:rsidRPr="00D6005C">
        <w:rPr>
          <w:szCs w:val="22"/>
        </w:rPr>
        <w:t xml:space="preserve">usage of the Plant Sciences E-Library (PASSEL, </w:t>
      </w:r>
      <w:hyperlink r:id="rId13" w:history="1">
        <w:r w:rsidR="00D26144" w:rsidRPr="00C93649">
          <w:rPr>
            <w:rStyle w:val="Hyperlink"/>
            <w:szCs w:val="22"/>
          </w:rPr>
          <w:t>http://passel.unl.edu</w:t>
        </w:r>
      </w:hyperlink>
      <w:r w:rsidRPr="00D6005C">
        <w:rPr>
          <w:szCs w:val="22"/>
        </w:rPr>
        <w:t>), a large international, open-source multidisciplina</w:t>
      </w:r>
      <w:r>
        <w:rPr>
          <w:szCs w:val="22"/>
        </w:rPr>
        <w:t xml:space="preserve">ry learning object repository.  The primary study focus is on these usage differences, but secondary analyses </w:t>
      </w:r>
      <w:r w:rsidRPr="009F34D6">
        <w:rPr>
          <w:szCs w:val="22"/>
        </w:rPr>
        <w:t xml:space="preserve">identify and differentiate subpopulations of learners who scored high or low on quizzes. </w:t>
      </w:r>
    </w:p>
    <w:p w14:paraId="3EF60C9F" w14:textId="77777777" w:rsidR="009F34D6" w:rsidRPr="009F34D6" w:rsidRDefault="009F34D6" w:rsidP="001C39FB">
      <w:pPr>
        <w:rPr>
          <w:szCs w:val="22"/>
        </w:rPr>
      </w:pPr>
      <w:r w:rsidRPr="001C39FB">
        <w:rPr>
          <w:szCs w:val="22"/>
        </w:rPr>
        <w:t>Research questions were the following:</w:t>
      </w:r>
    </w:p>
    <w:p w14:paraId="004EF8AC" w14:textId="77777777" w:rsidR="009F34D6" w:rsidRPr="009F34D6" w:rsidRDefault="009F34D6" w:rsidP="001C39FB">
      <w:pPr>
        <w:ind w:left="567" w:hanging="283"/>
        <w:rPr>
          <w:szCs w:val="22"/>
        </w:rPr>
      </w:pPr>
      <w:r>
        <w:rPr>
          <w:szCs w:val="22"/>
        </w:rPr>
        <w:t xml:space="preserve">(1)  </w:t>
      </w:r>
      <w:r w:rsidRPr="009F34D6">
        <w:rPr>
          <w:szCs w:val="22"/>
        </w:rPr>
        <w:t>What is the difference in usage of online instructional materials by credit and noncredit lear</w:t>
      </w:r>
      <w:r w:rsidRPr="009F34D6">
        <w:rPr>
          <w:szCs w:val="22"/>
        </w:rPr>
        <w:t>n</w:t>
      </w:r>
      <w:r w:rsidRPr="009F34D6">
        <w:rPr>
          <w:szCs w:val="22"/>
        </w:rPr>
        <w:t>ers?</w:t>
      </w:r>
    </w:p>
    <w:p w14:paraId="70A687D8" w14:textId="77777777" w:rsidR="009F34D6" w:rsidRPr="009F34D6" w:rsidRDefault="009F34D6" w:rsidP="001C39FB">
      <w:pPr>
        <w:ind w:left="567" w:hanging="283"/>
        <w:rPr>
          <w:szCs w:val="22"/>
        </w:rPr>
      </w:pPr>
      <w:r>
        <w:rPr>
          <w:szCs w:val="22"/>
        </w:rPr>
        <w:t xml:space="preserve">(2)  </w:t>
      </w:r>
      <w:r w:rsidRPr="009F34D6">
        <w:rPr>
          <w:szCs w:val="22"/>
        </w:rPr>
        <w:t>What are the differences in usage between high and low quiz scoring credit and noncredit students?</w:t>
      </w:r>
    </w:p>
    <w:p w14:paraId="4FC7FC3E" w14:textId="151970FE" w:rsidR="009F34D6" w:rsidRDefault="009F34D6" w:rsidP="001C39FB">
      <w:pPr>
        <w:ind w:left="567" w:hanging="283"/>
        <w:rPr>
          <w:szCs w:val="22"/>
        </w:rPr>
      </w:pPr>
      <w:r>
        <w:rPr>
          <w:szCs w:val="22"/>
        </w:rPr>
        <w:t xml:space="preserve">(3)  </w:t>
      </w:r>
      <w:r w:rsidRPr="009F34D6">
        <w:rPr>
          <w:szCs w:val="22"/>
        </w:rPr>
        <w:t xml:space="preserve">What learning approaches are being used by high quiz scoring credit and noncredit students?  By low quiz scoring credit and noncredit students?  </w:t>
      </w:r>
    </w:p>
    <w:p w14:paraId="4624C112" w14:textId="4582E8B7" w:rsidR="009F34D6" w:rsidRPr="0036412B" w:rsidRDefault="00BD34EF" w:rsidP="009F34D6">
      <w:pPr>
        <w:spacing w:after="0"/>
        <w:rPr>
          <w:szCs w:val="22"/>
        </w:rPr>
      </w:pPr>
      <w:r w:rsidRPr="00901549">
        <w:rPr>
          <w:szCs w:val="22"/>
        </w:rPr>
        <w:t xml:space="preserve">This paper will </w:t>
      </w:r>
      <w:r w:rsidR="009F34D6" w:rsidRPr="00901549">
        <w:rPr>
          <w:szCs w:val="22"/>
        </w:rPr>
        <w:t>describe the e-learning repository content and outline the methodological and data collection/analysis approaches.  Results comparing on-line learner behavior of credit and noncredit learners will be presented, along with cluster analysis results comparing high and low performers.  The discussion section elaborates on these differences and suggests learning approaches for each of the four learner categories: a) high performing noncredit</w:t>
      </w:r>
      <w:r w:rsidR="00D26144">
        <w:rPr>
          <w:szCs w:val="22"/>
        </w:rPr>
        <w:t>,</w:t>
      </w:r>
      <w:r w:rsidR="009F34D6" w:rsidRPr="00901549">
        <w:rPr>
          <w:szCs w:val="22"/>
        </w:rPr>
        <w:t xml:space="preserve"> b) low performing noncredit, c) high pe</w:t>
      </w:r>
      <w:r w:rsidR="009F34D6" w:rsidRPr="00901549">
        <w:rPr>
          <w:szCs w:val="22"/>
        </w:rPr>
        <w:t>r</w:t>
      </w:r>
      <w:r w:rsidR="009F34D6" w:rsidRPr="00901549">
        <w:rPr>
          <w:szCs w:val="22"/>
        </w:rPr>
        <w:t>forming credit, and d) low performing credit.  Finally, the summary and conclusions section outlines the contribution to the literature in this field, discusses limitations, and provided recommendations for both practitioners and researchers.</w:t>
      </w:r>
      <w:r w:rsidR="009F34D6">
        <w:rPr>
          <w:szCs w:val="22"/>
        </w:rPr>
        <w:t xml:space="preserve">  </w:t>
      </w:r>
    </w:p>
    <w:p w14:paraId="7490EC82" w14:textId="77777777" w:rsidR="00D44B6E" w:rsidRDefault="00D44B6E" w:rsidP="00D26144">
      <w:pPr>
        <w:pStyle w:val="Heading1"/>
      </w:pPr>
      <w:r>
        <w:t>Methods</w:t>
      </w:r>
    </w:p>
    <w:p w14:paraId="1BF34CD5" w14:textId="12A26E4F" w:rsidR="000878FD" w:rsidRDefault="002E424C" w:rsidP="001C39FB">
      <w:pPr>
        <w:pStyle w:val="Heading2"/>
      </w:pPr>
      <w:r>
        <w:t>Research Approach</w:t>
      </w:r>
    </w:p>
    <w:p w14:paraId="4C24AF2F" w14:textId="77777777" w:rsidR="004B59C5" w:rsidRPr="00660A9E" w:rsidRDefault="00CF5916" w:rsidP="00080385">
      <w:pPr>
        <w:jc w:val="center"/>
        <w:rPr>
          <w:szCs w:val="22"/>
        </w:rPr>
      </w:pPr>
      <w:r w:rsidRPr="00BD34EF">
        <w:rPr>
          <w:noProof/>
        </w:rPr>
        <w:drawing>
          <wp:inline distT="0" distB="0" distL="0" distR="0" wp14:anchorId="67AF2F53" wp14:editId="60B60166">
            <wp:extent cx="4800600" cy="32004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print"/>
                    <a:stretch>
                      <a:fillRect/>
                    </a:stretch>
                  </pic:blipFill>
                  <pic:spPr>
                    <a:xfrm>
                      <a:off x="0" y="0"/>
                      <a:ext cx="4800600" cy="3200400"/>
                    </a:xfrm>
                    <a:prstGeom prst="rect">
                      <a:avLst/>
                    </a:prstGeom>
                  </pic:spPr>
                </pic:pic>
              </a:graphicData>
            </a:graphic>
          </wp:inline>
        </w:drawing>
      </w:r>
    </w:p>
    <w:p w14:paraId="36617D89" w14:textId="634A8CE8" w:rsidR="004B59C5" w:rsidRPr="00D26144" w:rsidRDefault="004B59C5" w:rsidP="00D26144">
      <w:pPr>
        <w:jc w:val="center"/>
        <w:rPr>
          <w:b/>
          <w:szCs w:val="22"/>
        </w:rPr>
      </w:pPr>
      <w:r w:rsidRPr="00D26144">
        <w:rPr>
          <w:b/>
        </w:rPr>
        <w:t>Figure 1.  Flowchart of methods/approach</w:t>
      </w:r>
    </w:p>
    <w:p w14:paraId="31B1FC5A" w14:textId="77777777" w:rsidR="00E2209E" w:rsidRDefault="00E2209E" w:rsidP="00E2209E">
      <w:pPr>
        <w:rPr>
          <w:szCs w:val="22"/>
        </w:rPr>
      </w:pPr>
      <w:r w:rsidRPr="00E41774">
        <w:rPr>
          <w:szCs w:val="22"/>
        </w:rPr>
        <w:lastRenderedPageBreak/>
        <w:t>This research</w:t>
      </w:r>
      <w:r>
        <w:rPr>
          <w:szCs w:val="22"/>
        </w:rPr>
        <w:t xml:space="preserve"> uses </w:t>
      </w:r>
      <w:r w:rsidRPr="00E41774">
        <w:rPr>
          <w:szCs w:val="22"/>
        </w:rPr>
        <w:t>descriptive statistics to address the primary research question of how credit lear</w:t>
      </w:r>
      <w:r w:rsidRPr="00E41774">
        <w:rPr>
          <w:szCs w:val="22"/>
        </w:rPr>
        <w:t>n</w:t>
      </w:r>
      <w:r w:rsidRPr="00E41774">
        <w:rPr>
          <w:szCs w:val="22"/>
        </w:rPr>
        <w:t>ers differ from noncredit learners in using an international e-library</w:t>
      </w:r>
      <w:r>
        <w:rPr>
          <w:szCs w:val="22"/>
        </w:rPr>
        <w:t xml:space="preserve"> of learning objects</w:t>
      </w:r>
      <w:r w:rsidRPr="00E41774">
        <w:rPr>
          <w:szCs w:val="22"/>
        </w:rPr>
        <w:t xml:space="preserve">.  The study also uses cluster analysis to </w:t>
      </w:r>
      <w:r>
        <w:rPr>
          <w:szCs w:val="22"/>
        </w:rPr>
        <w:t xml:space="preserve">identify </w:t>
      </w:r>
      <w:r w:rsidRPr="00E41774">
        <w:rPr>
          <w:szCs w:val="22"/>
        </w:rPr>
        <w:t xml:space="preserve">high and low </w:t>
      </w:r>
      <w:r w:rsidRPr="005F0A97">
        <w:rPr>
          <w:szCs w:val="22"/>
        </w:rPr>
        <w:t xml:space="preserve">credit/noncredit </w:t>
      </w:r>
      <w:r>
        <w:rPr>
          <w:szCs w:val="22"/>
        </w:rPr>
        <w:t xml:space="preserve">students based on their quiz scores and follow-up descriptive statistics to differentiate their usage patterns and to help describe possible learning approaches (deep, surface, and strategic).  </w:t>
      </w:r>
      <w:r w:rsidRPr="001C39FB">
        <w:rPr>
          <w:szCs w:val="22"/>
        </w:rPr>
        <w:t>A flowchart showing the methods/approach is found in Figure 1.</w:t>
      </w:r>
      <w:r>
        <w:rPr>
          <w:szCs w:val="22"/>
        </w:rPr>
        <w:t xml:space="preserve"> </w:t>
      </w:r>
    </w:p>
    <w:p w14:paraId="5519B3FB" w14:textId="77777777" w:rsidR="00051087" w:rsidRPr="0065079C" w:rsidRDefault="007B55C2" w:rsidP="00164FB6">
      <w:pPr>
        <w:pStyle w:val="Heading2"/>
      </w:pPr>
      <w:r w:rsidRPr="0065079C">
        <w:t>E-Learning Repository Context</w:t>
      </w:r>
    </w:p>
    <w:p w14:paraId="561A7B66" w14:textId="4306872A" w:rsidR="002E424C" w:rsidRDefault="007B55C2" w:rsidP="00795B56">
      <w:r>
        <w:rPr>
          <w:szCs w:val="22"/>
        </w:rPr>
        <w:t xml:space="preserve">This </w:t>
      </w:r>
      <w:r w:rsidRPr="002F3D7A">
        <w:rPr>
          <w:szCs w:val="22"/>
        </w:rPr>
        <w:t xml:space="preserve">research </w:t>
      </w:r>
      <w:r>
        <w:rPr>
          <w:szCs w:val="22"/>
        </w:rPr>
        <w:t>was</w:t>
      </w:r>
      <w:r w:rsidRPr="002F3D7A">
        <w:rPr>
          <w:szCs w:val="22"/>
        </w:rPr>
        <w:t xml:space="preserve"> conducted with an establish</w:t>
      </w:r>
      <w:r>
        <w:rPr>
          <w:szCs w:val="22"/>
        </w:rPr>
        <w:t>ed learning object repository,</w:t>
      </w:r>
      <w:r w:rsidRPr="002F3D7A">
        <w:rPr>
          <w:szCs w:val="22"/>
        </w:rPr>
        <w:t xml:space="preserve"> the Plant </w:t>
      </w:r>
      <w:r>
        <w:rPr>
          <w:szCs w:val="22"/>
        </w:rPr>
        <w:t>and</w:t>
      </w:r>
      <w:r w:rsidRPr="002F3D7A">
        <w:rPr>
          <w:szCs w:val="22"/>
        </w:rPr>
        <w:t xml:space="preserve"> Soil Sc</w:t>
      </w:r>
      <w:r w:rsidRPr="002F3D7A">
        <w:rPr>
          <w:szCs w:val="22"/>
        </w:rPr>
        <w:t>i</w:t>
      </w:r>
      <w:r w:rsidRPr="002F3D7A">
        <w:rPr>
          <w:szCs w:val="22"/>
        </w:rPr>
        <w:t xml:space="preserve">ences </w:t>
      </w:r>
      <w:proofErr w:type="spellStart"/>
      <w:r w:rsidRPr="002F3D7A">
        <w:rPr>
          <w:szCs w:val="22"/>
        </w:rPr>
        <w:t>eLibrary</w:t>
      </w:r>
      <w:r>
        <w:rPr>
          <w:szCs w:val="22"/>
          <w:vertAlign w:val="superscript"/>
        </w:rPr>
        <w:t>PRO</w:t>
      </w:r>
      <w:proofErr w:type="spellEnd"/>
      <w:r w:rsidRPr="002F3D7A">
        <w:rPr>
          <w:szCs w:val="22"/>
        </w:rPr>
        <w:t xml:space="preserve"> (PASSEL) (</w:t>
      </w:r>
      <w:hyperlink r:id="rId15" w:history="1">
        <w:r w:rsidR="00080385" w:rsidRPr="00C93649">
          <w:rPr>
            <w:rStyle w:val="Hyperlink"/>
            <w:rFonts w:eastAsiaTheme="majorEastAsia"/>
            <w:szCs w:val="22"/>
          </w:rPr>
          <w:t>http://passel.unl.edu</w:t>
        </w:r>
      </w:hyperlink>
      <w:r w:rsidRPr="002F3D7A">
        <w:rPr>
          <w:szCs w:val="22"/>
        </w:rPr>
        <w:t xml:space="preserve">).  This collection of short lessons, </w:t>
      </w:r>
      <w:r>
        <w:rPr>
          <w:szCs w:val="22"/>
        </w:rPr>
        <w:t xml:space="preserve">quiz banks, </w:t>
      </w:r>
      <w:r w:rsidRPr="002F3D7A">
        <w:rPr>
          <w:szCs w:val="22"/>
        </w:rPr>
        <w:t>illustrative animations</w:t>
      </w:r>
      <w:r w:rsidR="00164FB6">
        <w:rPr>
          <w:szCs w:val="22"/>
        </w:rPr>
        <w:t>,</w:t>
      </w:r>
      <w:r w:rsidRPr="002F3D7A">
        <w:rPr>
          <w:szCs w:val="22"/>
        </w:rPr>
        <w:t xml:space="preserve"> and video clips has been used globally since 1999 in illustrating complex, a</w:t>
      </w:r>
      <w:r w:rsidRPr="002F3D7A">
        <w:rPr>
          <w:szCs w:val="22"/>
        </w:rPr>
        <w:t>p</w:t>
      </w:r>
      <w:r w:rsidRPr="002F3D7A">
        <w:rPr>
          <w:szCs w:val="22"/>
        </w:rPr>
        <w:t>plied scientific concepts to a variety</w:t>
      </w:r>
      <w:r>
        <w:rPr>
          <w:szCs w:val="22"/>
        </w:rPr>
        <w:t xml:space="preserve"> of learners in academic settings as well as personal enrichment.  B</w:t>
      </w:r>
      <w:r w:rsidRPr="002F3D7A">
        <w:rPr>
          <w:szCs w:val="22"/>
        </w:rPr>
        <w:t>uilt using Open Source Technologies</w:t>
      </w:r>
      <w:r>
        <w:rPr>
          <w:szCs w:val="22"/>
        </w:rPr>
        <w:t xml:space="preserve">, </w:t>
      </w:r>
      <w:r w:rsidRPr="00C16EA9">
        <w:rPr>
          <w:szCs w:val="22"/>
        </w:rPr>
        <w:t>PASSEL is the result of collaborations across several acade</w:t>
      </w:r>
      <w:r w:rsidRPr="00C16EA9">
        <w:rPr>
          <w:szCs w:val="22"/>
        </w:rPr>
        <w:t>m</w:t>
      </w:r>
      <w:r w:rsidRPr="00C16EA9">
        <w:rPr>
          <w:szCs w:val="22"/>
        </w:rPr>
        <w:t>ic institutions</w:t>
      </w:r>
      <w:r w:rsidR="00080385">
        <w:rPr>
          <w:szCs w:val="22"/>
        </w:rPr>
        <w:t xml:space="preserve"> and</w:t>
      </w:r>
      <w:r w:rsidRPr="00C16EA9">
        <w:rPr>
          <w:szCs w:val="22"/>
        </w:rPr>
        <w:t xml:space="preserve"> nonprofit and industry partners. </w:t>
      </w:r>
      <w:r w:rsidRPr="005F477B">
        <w:rPr>
          <w:color w:val="000000"/>
          <w:szCs w:val="22"/>
        </w:rPr>
        <w:t>Some of these include U</w:t>
      </w:r>
      <w:r>
        <w:rPr>
          <w:color w:val="000000"/>
          <w:szCs w:val="22"/>
        </w:rPr>
        <w:t>.</w:t>
      </w:r>
      <w:r w:rsidRPr="005F477B">
        <w:rPr>
          <w:color w:val="000000"/>
          <w:szCs w:val="22"/>
        </w:rPr>
        <w:t>S</w:t>
      </w:r>
      <w:r>
        <w:rPr>
          <w:color w:val="000000"/>
          <w:szCs w:val="22"/>
        </w:rPr>
        <w:t>.</w:t>
      </w:r>
      <w:r w:rsidRPr="005F477B">
        <w:rPr>
          <w:color w:val="000000"/>
          <w:szCs w:val="22"/>
        </w:rPr>
        <w:t xml:space="preserve"> land grant universities such as University of Nebraska, The Ohio State University, Colorado State University</w:t>
      </w:r>
      <w:r>
        <w:rPr>
          <w:color w:val="000000"/>
          <w:szCs w:val="22"/>
        </w:rPr>
        <w:t>, New Mexico State University</w:t>
      </w:r>
      <w:r w:rsidR="00164FB6">
        <w:rPr>
          <w:color w:val="000000"/>
          <w:szCs w:val="22"/>
        </w:rPr>
        <w:t>,</w:t>
      </w:r>
      <w:r w:rsidRPr="005F477B">
        <w:rPr>
          <w:color w:val="000000"/>
          <w:szCs w:val="22"/>
        </w:rPr>
        <w:t xml:space="preserve"> and Montana State</w:t>
      </w:r>
      <w:r>
        <w:rPr>
          <w:color w:val="000000"/>
          <w:szCs w:val="22"/>
        </w:rPr>
        <w:t xml:space="preserve"> University.  </w:t>
      </w:r>
      <w:r w:rsidRPr="005F477B">
        <w:rPr>
          <w:color w:val="000000"/>
          <w:szCs w:val="22"/>
        </w:rPr>
        <w:t>Examples of international institutions and nonpro</w:t>
      </w:r>
      <w:r w:rsidRPr="005F477B">
        <w:rPr>
          <w:color w:val="000000"/>
          <w:szCs w:val="22"/>
        </w:rPr>
        <w:t>f</w:t>
      </w:r>
      <w:r w:rsidRPr="005F477B">
        <w:rPr>
          <w:color w:val="000000"/>
          <w:szCs w:val="22"/>
        </w:rPr>
        <w:t>its include</w:t>
      </w:r>
      <w:r w:rsidRPr="005F477B">
        <w:rPr>
          <w:rFonts w:eastAsiaTheme="minorEastAsia"/>
          <w:color w:val="000000" w:themeColor="text1"/>
          <w:kern w:val="24"/>
          <w:szCs w:val="22"/>
        </w:rPr>
        <w:t xml:space="preserve"> Universidad de Costa Rica, </w:t>
      </w:r>
      <w:r w:rsidRPr="00FF0029">
        <w:rPr>
          <w:rFonts w:eastAsiaTheme="minorEastAsia"/>
          <w:color w:val="000000" w:themeColor="text1"/>
          <w:kern w:val="24"/>
          <w:szCs w:val="22"/>
        </w:rPr>
        <w:t xml:space="preserve">Salinas de </w:t>
      </w:r>
      <w:proofErr w:type="spellStart"/>
      <w:r w:rsidRPr="00FF0029">
        <w:rPr>
          <w:rFonts w:eastAsiaTheme="minorEastAsia"/>
          <w:color w:val="000000" w:themeColor="text1"/>
          <w:kern w:val="24"/>
          <w:szCs w:val="22"/>
        </w:rPr>
        <w:t>Hgo</w:t>
      </w:r>
      <w:proofErr w:type="spellEnd"/>
      <w:r w:rsidRPr="00FF0029">
        <w:rPr>
          <w:rFonts w:eastAsiaTheme="minorEastAsia"/>
          <w:color w:val="000000" w:themeColor="text1"/>
          <w:kern w:val="24"/>
          <w:szCs w:val="22"/>
        </w:rPr>
        <w:t>, SLP, Mexico,</w:t>
      </w:r>
      <w:r w:rsidRPr="005F477B">
        <w:rPr>
          <w:rFonts w:eastAsiaTheme="minorEastAsia"/>
          <w:color w:val="000000" w:themeColor="text1"/>
          <w:kern w:val="24"/>
          <w:szCs w:val="22"/>
        </w:rPr>
        <w:t xml:space="preserve"> </w:t>
      </w:r>
      <w:proofErr w:type="spellStart"/>
      <w:r w:rsidRPr="005F477B">
        <w:rPr>
          <w:rFonts w:eastAsiaTheme="minorEastAsia"/>
          <w:color w:val="000000" w:themeColor="text1"/>
          <w:kern w:val="24"/>
          <w:szCs w:val="22"/>
        </w:rPr>
        <w:t>Mykolayiv</w:t>
      </w:r>
      <w:proofErr w:type="spellEnd"/>
      <w:r w:rsidRPr="005F477B">
        <w:rPr>
          <w:rFonts w:eastAsiaTheme="minorEastAsia"/>
          <w:color w:val="000000" w:themeColor="text1"/>
          <w:kern w:val="24"/>
          <w:szCs w:val="22"/>
        </w:rPr>
        <w:t xml:space="preserve"> National Agrarian University</w:t>
      </w:r>
      <w:r w:rsidR="00164FB6">
        <w:rPr>
          <w:rFonts w:eastAsiaTheme="minorEastAsia"/>
          <w:color w:val="000000" w:themeColor="text1"/>
          <w:kern w:val="24"/>
          <w:szCs w:val="22"/>
        </w:rPr>
        <w:t>,</w:t>
      </w:r>
      <w:r w:rsidRPr="005F477B">
        <w:rPr>
          <w:color w:val="000000"/>
          <w:szCs w:val="22"/>
        </w:rPr>
        <w:t xml:space="preserve"> </w:t>
      </w:r>
      <w:r w:rsidRPr="005F477B">
        <w:rPr>
          <w:rFonts w:eastAsiaTheme="minorEastAsia"/>
          <w:color w:val="000000" w:themeColor="text1"/>
          <w:kern w:val="24"/>
          <w:szCs w:val="22"/>
        </w:rPr>
        <w:t xml:space="preserve">and </w:t>
      </w:r>
      <w:r>
        <w:rPr>
          <w:rFonts w:eastAsiaTheme="minorEastAsia"/>
          <w:color w:val="000000" w:themeColor="text1"/>
          <w:kern w:val="24"/>
          <w:szCs w:val="22"/>
        </w:rPr>
        <w:t xml:space="preserve">the </w:t>
      </w:r>
      <w:r w:rsidRPr="005F477B">
        <w:rPr>
          <w:color w:val="000000"/>
          <w:szCs w:val="22"/>
        </w:rPr>
        <w:t xml:space="preserve">CGIAR Generation Challenge </w:t>
      </w:r>
      <w:proofErr w:type="spellStart"/>
      <w:r w:rsidRPr="005F477B">
        <w:rPr>
          <w:color w:val="000000"/>
          <w:szCs w:val="22"/>
        </w:rPr>
        <w:t>Programme</w:t>
      </w:r>
      <w:proofErr w:type="spellEnd"/>
      <w:r w:rsidRPr="005F477B">
        <w:rPr>
          <w:color w:val="000000"/>
          <w:szCs w:val="22"/>
        </w:rPr>
        <w:t>–Integrated Breeding Platform.</w:t>
      </w:r>
      <w:r w:rsidR="007701DC">
        <w:rPr>
          <w:color w:val="000000"/>
          <w:szCs w:val="22"/>
        </w:rPr>
        <w:t xml:space="preserve"> </w:t>
      </w:r>
      <w:r w:rsidR="00164FB6">
        <w:rPr>
          <w:color w:val="000000"/>
          <w:szCs w:val="22"/>
        </w:rPr>
        <w:t>Two</w:t>
      </w:r>
      <w:r w:rsidRPr="005F477B">
        <w:rPr>
          <w:color w:val="000000"/>
          <w:szCs w:val="22"/>
        </w:rPr>
        <w:t xml:space="preserve"> ag</w:t>
      </w:r>
      <w:r>
        <w:rPr>
          <w:color w:val="000000"/>
          <w:szCs w:val="22"/>
        </w:rPr>
        <w:t>ricultural</w:t>
      </w:r>
      <w:r w:rsidRPr="005F477B">
        <w:rPr>
          <w:color w:val="000000"/>
          <w:szCs w:val="22"/>
        </w:rPr>
        <w:t xml:space="preserve"> industry partners </w:t>
      </w:r>
      <w:r w:rsidR="007701DC">
        <w:rPr>
          <w:color w:val="000000"/>
          <w:szCs w:val="22"/>
        </w:rPr>
        <w:t>are</w:t>
      </w:r>
      <w:r>
        <w:rPr>
          <w:color w:val="000000"/>
          <w:szCs w:val="22"/>
        </w:rPr>
        <w:t xml:space="preserve"> </w:t>
      </w:r>
      <w:r w:rsidRPr="005F477B">
        <w:rPr>
          <w:rFonts w:eastAsiaTheme="minorEastAsia"/>
          <w:color w:val="000000" w:themeColor="text1"/>
          <w:kern w:val="24"/>
          <w:szCs w:val="22"/>
        </w:rPr>
        <w:t>Pioneer</w:t>
      </w:r>
      <w:r>
        <w:rPr>
          <w:rFonts w:eastAsiaTheme="minorEastAsia"/>
          <w:color w:val="000000" w:themeColor="text1"/>
          <w:kern w:val="24"/>
          <w:szCs w:val="22"/>
        </w:rPr>
        <w:t xml:space="preserve"> and</w:t>
      </w:r>
      <w:r w:rsidRPr="005F477B">
        <w:rPr>
          <w:rFonts w:eastAsiaTheme="minorEastAsia"/>
          <w:color w:val="000000" w:themeColor="text1"/>
          <w:kern w:val="24"/>
          <w:szCs w:val="22"/>
        </w:rPr>
        <w:t xml:space="preserve"> Monsanto.</w:t>
      </w:r>
      <w:r>
        <w:rPr>
          <w:rFonts w:eastAsiaTheme="minorEastAsia"/>
          <w:color w:val="000000" w:themeColor="text1"/>
          <w:kern w:val="24"/>
          <w:szCs w:val="22"/>
        </w:rPr>
        <w:t xml:space="preserve">  </w:t>
      </w:r>
      <w:r w:rsidRPr="00E0700A">
        <w:rPr>
          <w:rFonts w:eastAsiaTheme="minorEastAsia"/>
          <w:color w:val="000000" w:themeColor="text1"/>
          <w:kern w:val="24"/>
          <w:szCs w:val="22"/>
        </w:rPr>
        <w:t>Funding has been provided from sources such as A</w:t>
      </w:r>
      <w:r>
        <w:rPr>
          <w:rFonts w:eastAsiaTheme="minorEastAsia"/>
          <w:color w:val="000000" w:themeColor="text1"/>
          <w:kern w:val="24"/>
          <w:szCs w:val="22"/>
        </w:rPr>
        <w:t xml:space="preserve">merican </w:t>
      </w:r>
      <w:r w:rsidRPr="00E0700A">
        <w:rPr>
          <w:rFonts w:eastAsiaTheme="minorEastAsia"/>
          <w:color w:val="000000" w:themeColor="text1"/>
          <w:kern w:val="24"/>
          <w:szCs w:val="22"/>
        </w:rPr>
        <w:t>D</w:t>
      </w:r>
      <w:r>
        <w:rPr>
          <w:rFonts w:eastAsiaTheme="minorEastAsia"/>
          <w:color w:val="000000" w:themeColor="text1"/>
          <w:kern w:val="24"/>
          <w:szCs w:val="22"/>
        </w:rPr>
        <w:t xml:space="preserve">istance </w:t>
      </w:r>
      <w:r w:rsidRPr="00E0700A">
        <w:rPr>
          <w:rFonts w:eastAsiaTheme="minorEastAsia"/>
          <w:color w:val="000000" w:themeColor="text1"/>
          <w:kern w:val="24"/>
          <w:szCs w:val="22"/>
        </w:rPr>
        <w:t>E</w:t>
      </w:r>
      <w:r>
        <w:rPr>
          <w:rFonts w:eastAsiaTheme="minorEastAsia"/>
          <w:color w:val="000000" w:themeColor="text1"/>
          <w:kern w:val="24"/>
          <w:szCs w:val="22"/>
        </w:rPr>
        <w:t xml:space="preserve">ducation </w:t>
      </w:r>
      <w:r w:rsidRPr="00E0700A">
        <w:rPr>
          <w:rFonts w:eastAsiaTheme="minorEastAsia"/>
          <w:color w:val="000000" w:themeColor="text1"/>
          <w:kern w:val="24"/>
          <w:szCs w:val="22"/>
        </w:rPr>
        <w:t>C</w:t>
      </w:r>
      <w:r>
        <w:rPr>
          <w:rFonts w:eastAsiaTheme="minorEastAsia"/>
          <w:color w:val="000000" w:themeColor="text1"/>
          <w:kern w:val="24"/>
          <w:szCs w:val="22"/>
        </w:rPr>
        <w:t>onsortium</w:t>
      </w:r>
      <w:r w:rsidRPr="00E0700A">
        <w:rPr>
          <w:rFonts w:eastAsiaTheme="minorEastAsia"/>
          <w:color w:val="000000" w:themeColor="text1"/>
          <w:kern w:val="24"/>
          <w:szCs w:val="22"/>
        </w:rPr>
        <w:t>, U</w:t>
      </w:r>
      <w:r w:rsidR="00164FB6">
        <w:rPr>
          <w:rFonts w:eastAsiaTheme="minorEastAsia"/>
          <w:color w:val="000000" w:themeColor="text1"/>
          <w:kern w:val="24"/>
          <w:szCs w:val="22"/>
        </w:rPr>
        <w:t>.</w:t>
      </w:r>
      <w:r w:rsidRPr="00E0700A">
        <w:rPr>
          <w:rFonts w:eastAsiaTheme="minorEastAsia"/>
          <w:color w:val="000000" w:themeColor="text1"/>
          <w:kern w:val="24"/>
          <w:szCs w:val="22"/>
        </w:rPr>
        <w:t>S</w:t>
      </w:r>
      <w:r w:rsidR="00164FB6">
        <w:rPr>
          <w:rFonts w:eastAsiaTheme="minorEastAsia"/>
          <w:color w:val="000000" w:themeColor="text1"/>
          <w:kern w:val="24"/>
          <w:szCs w:val="22"/>
        </w:rPr>
        <w:t>.</w:t>
      </w:r>
      <w:r>
        <w:rPr>
          <w:rFonts w:eastAsiaTheme="minorEastAsia"/>
          <w:color w:val="000000" w:themeColor="text1"/>
          <w:kern w:val="24"/>
          <w:szCs w:val="22"/>
        </w:rPr>
        <w:t xml:space="preserve"> </w:t>
      </w:r>
      <w:r w:rsidRPr="00E0700A">
        <w:rPr>
          <w:rFonts w:eastAsiaTheme="minorEastAsia"/>
          <w:color w:val="000000" w:themeColor="text1"/>
          <w:kern w:val="24"/>
          <w:szCs w:val="22"/>
        </w:rPr>
        <w:t>D</w:t>
      </w:r>
      <w:r>
        <w:rPr>
          <w:rFonts w:eastAsiaTheme="minorEastAsia"/>
          <w:color w:val="000000" w:themeColor="text1"/>
          <w:kern w:val="24"/>
          <w:szCs w:val="22"/>
        </w:rPr>
        <w:t xml:space="preserve">epartment of </w:t>
      </w:r>
      <w:r w:rsidRPr="00E0700A">
        <w:rPr>
          <w:rFonts w:eastAsiaTheme="minorEastAsia"/>
          <w:color w:val="000000" w:themeColor="text1"/>
          <w:kern w:val="24"/>
          <w:szCs w:val="22"/>
        </w:rPr>
        <w:t>A</w:t>
      </w:r>
      <w:r>
        <w:rPr>
          <w:rFonts w:eastAsiaTheme="minorEastAsia"/>
          <w:color w:val="000000" w:themeColor="text1"/>
          <w:kern w:val="24"/>
          <w:szCs w:val="22"/>
        </w:rPr>
        <w:t>griculture</w:t>
      </w:r>
      <w:r w:rsidR="00164FB6">
        <w:rPr>
          <w:rFonts w:eastAsiaTheme="minorEastAsia"/>
          <w:color w:val="000000" w:themeColor="text1"/>
          <w:kern w:val="24"/>
          <w:szCs w:val="22"/>
        </w:rPr>
        <w:t>,</w:t>
      </w:r>
      <w:r>
        <w:rPr>
          <w:rFonts w:eastAsiaTheme="minorEastAsia"/>
          <w:color w:val="000000" w:themeColor="text1"/>
          <w:kern w:val="24"/>
          <w:szCs w:val="22"/>
        </w:rPr>
        <w:t xml:space="preserve"> a</w:t>
      </w:r>
      <w:r w:rsidRPr="00E0700A">
        <w:rPr>
          <w:rFonts w:eastAsiaTheme="minorEastAsia"/>
          <w:color w:val="000000" w:themeColor="text1"/>
          <w:kern w:val="24"/>
          <w:szCs w:val="22"/>
        </w:rPr>
        <w:t>nd N</w:t>
      </w:r>
      <w:r>
        <w:rPr>
          <w:rFonts w:eastAsiaTheme="minorEastAsia"/>
          <w:color w:val="000000" w:themeColor="text1"/>
          <w:kern w:val="24"/>
          <w:szCs w:val="22"/>
        </w:rPr>
        <w:t xml:space="preserve">ational </w:t>
      </w:r>
      <w:r w:rsidRPr="00E0700A">
        <w:rPr>
          <w:rFonts w:eastAsiaTheme="minorEastAsia"/>
          <w:color w:val="000000" w:themeColor="text1"/>
          <w:kern w:val="24"/>
          <w:szCs w:val="22"/>
        </w:rPr>
        <w:t>S</w:t>
      </w:r>
      <w:r>
        <w:rPr>
          <w:rFonts w:eastAsiaTheme="minorEastAsia"/>
          <w:color w:val="000000" w:themeColor="text1"/>
          <w:kern w:val="24"/>
          <w:szCs w:val="22"/>
        </w:rPr>
        <w:t xml:space="preserve">cience </w:t>
      </w:r>
      <w:r w:rsidRPr="00E0700A">
        <w:rPr>
          <w:rFonts w:eastAsiaTheme="minorEastAsia"/>
          <w:color w:val="000000" w:themeColor="text1"/>
          <w:kern w:val="24"/>
          <w:szCs w:val="22"/>
        </w:rPr>
        <w:t>F</w:t>
      </w:r>
      <w:r>
        <w:rPr>
          <w:rFonts w:eastAsiaTheme="minorEastAsia"/>
          <w:color w:val="000000" w:themeColor="text1"/>
          <w:kern w:val="24"/>
          <w:szCs w:val="22"/>
        </w:rPr>
        <w:t>oundation</w:t>
      </w:r>
      <w:r w:rsidRPr="00E0700A">
        <w:rPr>
          <w:rFonts w:eastAsiaTheme="minorEastAsia"/>
          <w:color w:val="000000" w:themeColor="text1"/>
          <w:kern w:val="24"/>
          <w:szCs w:val="22"/>
        </w:rPr>
        <w:t>.</w:t>
      </w:r>
      <w:r w:rsidRPr="00E0700A">
        <w:rPr>
          <w:color w:val="000000"/>
          <w:szCs w:val="22"/>
        </w:rPr>
        <w:t xml:space="preserve"> </w:t>
      </w:r>
      <w:r w:rsidR="007F0594">
        <w:rPr>
          <w:color w:val="000000"/>
          <w:szCs w:val="22"/>
        </w:rPr>
        <w:t xml:space="preserve"> </w:t>
      </w:r>
      <w:r w:rsidRPr="00C16EA9">
        <w:rPr>
          <w:szCs w:val="22"/>
        </w:rPr>
        <w:t xml:space="preserve">At the outset, content </w:t>
      </w:r>
      <w:r>
        <w:rPr>
          <w:szCs w:val="22"/>
        </w:rPr>
        <w:t xml:space="preserve">lesson </w:t>
      </w:r>
      <w:r w:rsidRPr="00C16EA9">
        <w:rPr>
          <w:szCs w:val="22"/>
        </w:rPr>
        <w:t>authors recognized some of their learners r</w:t>
      </w:r>
      <w:r w:rsidRPr="00C16EA9">
        <w:rPr>
          <w:szCs w:val="22"/>
        </w:rPr>
        <w:t>e</w:t>
      </w:r>
      <w:r w:rsidRPr="00C16EA9">
        <w:rPr>
          <w:szCs w:val="22"/>
        </w:rPr>
        <w:t>quired basic, introductory materials while others were ready for more advanced instruction</w:t>
      </w:r>
      <w:r w:rsidRPr="002F3D7A">
        <w:rPr>
          <w:szCs w:val="22"/>
        </w:rPr>
        <w:t xml:space="preserve">. </w:t>
      </w:r>
      <w:r>
        <w:rPr>
          <w:szCs w:val="22"/>
        </w:rPr>
        <w:t xml:space="preserve"> </w:t>
      </w:r>
      <w:r w:rsidRPr="002F3D7A">
        <w:rPr>
          <w:szCs w:val="22"/>
        </w:rPr>
        <w:t>In add</w:t>
      </w:r>
      <w:r w:rsidRPr="002F3D7A">
        <w:rPr>
          <w:szCs w:val="22"/>
        </w:rPr>
        <w:t>i</w:t>
      </w:r>
      <w:r w:rsidRPr="002F3D7A">
        <w:rPr>
          <w:szCs w:val="22"/>
        </w:rPr>
        <w:t xml:space="preserve">tion, the educational goals of potential learners to the site vary considerably. </w:t>
      </w:r>
      <w:r>
        <w:rPr>
          <w:szCs w:val="22"/>
        </w:rPr>
        <w:t xml:space="preserve"> </w:t>
      </w:r>
      <w:r w:rsidRPr="002F3D7A">
        <w:rPr>
          <w:szCs w:val="22"/>
        </w:rPr>
        <w:t>Some learners could be at the high school level, others seek formal, academic credits to apply towards a graduate degree pr</w:t>
      </w:r>
      <w:r w:rsidRPr="002F3D7A">
        <w:rPr>
          <w:szCs w:val="22"/>
        </w:rPr>
        <w:t>o</w:t>
      </w:r>
      <w:r w:rsidRPr="002F3D7A">
        <w:rPr>
          <w:szCs w:val="22"/>
        </w:rPr>
        <w:t xml:space="preserve">gram or professional certification, </w:t>
      </w:r>
      <w:r>
        <w:rPr>
          <w:szCs w:val="22"/>
        </w:rPr>
        <w:t xml:space="preserve">and </w:t>
      </w:r>
      <w:r w:rsidRPr="002F3D7A">
        <w:rPr>
          <w:szCs w:val="22"/>
        </w:rPr>
        <w:t xml:space="preserve">still others may simply be curious about a given subject area. </w:t>
      </w:r>
      <w:r>
        <w:rPr>
          <w:szCs w:val="22"/>
        </w:rPr>
        <w:t xml:space="preserve"> </w:t>
      </w:r>
      <w:r w:rsidRPr="002F3D7A">
        <w:rPr>
          <w:szCs w:val="22"/>
        </w:rPr>
        <w:t xml:space="preserve">Therefore, the learning object approach afforded the greatest flexibility in addressing </w:t>
      </w:r>
      <w:r>
        <w:rPr>
          <w:szCs w:val="22"/>
        </w:rPr>
        <w:t xml:space="preserve">this </w:t>
      </w:r>
      <w:r w:rsidRPr="002F3D7A">
        <w:rPr>
          <w:szCs w:val="22"/>
        </w:rPr>
        <w:t>wide scope of learner needs.</w:t>
      </w:r>
    </w:p>
    <w:p w14:paraId="50FCE261" w14:textId="4D6C7143" w:rsidR="0057537D" w:rsidRPr="002E424C" w:rsidRDefault="007B55C2" w:rsidP="00795B56">
      <w:r w:rsidRPr="002E424C">
        <w:t xml:space="preserve">At the time of the data analysis described later in this paper, PASSEL had 13 collaborating U.S./international universities, 131 lessons, and 128 animations.  It operates under learner control, so that each student can spend as much time as required to reach mastery, as determined by a quiz score or </w:t>
      </w:r>
      <w:r w:rsidR="007701DC">
        <w:t>one’s</w:t>
      </w:r>
      <w:r w:rsidRPr="002E424C">
        <w:t xml:space="preserve"> own internal confidence.  </w:t>
      </w:r>
      <w:r w:rsidRPr="00636A6A">
        <w:t>Since the PASSEL database represents a rich learning environment that involves multiple topics, use in multiple courses, and use by a variety of international student and professional audiences, it represents an ideal source</w:t>
      </w:r>
      <w:r w:rsidRPr="002F3D7A">
        <w:rPr>
          <w:szCs w:val="22"/>
        </w:rPr>
        <w:t xml:space="preserve"> to study </w:t>
      </w:r>
      <w:r>
        <w:rPr>
          <w:szCs w:val="22"/>
        </w:rPr>
        <w:t>and characterize learner usage behaviors</w:t>
      </w:r>
      <w:r w:rsidRPr="002F3D7A">
        <w:rPr>
          <w:szCs w:val="22"/>
        </w:rPr>
        <w:t>.</w:t>
      </w:r>
    </w:p>
    <w:p w14:paraId="1085736A" w14:textId="77777777" w:rsidR="00177C43" w:rsidRDefault="00177C43" w:rsidP="00177C43">
      <w:pPr>
        <w:pStyle w:val="Heading2"/>
      </w:pPr>
      <w:r>
        <w:t>Data Collection Procedures</w:t>
      </w:r>
    </w:p>
    <w:p w14:paraId="6AA96A9E" w14:textId="77777777" w:rsidR="003171F2" w:rsidRPr="00901549" w:rsidRDefault="002F69D1" w:rsidP="00795B56">
      <w:pPr>
        <w:rPr>
          <w:szCs w:val="22"/>
        </w:rPr>
      </w:pPr>
      <w:r w:rsidRPr="002F3D7A">
        <w:rPr>
          <w:szCs w:val="22"/>
        </w:rPr>
        <w:t xml:space="preserve">This research </w:t>
      </w:r>
      <w:r>
        <w:rPr>
          <w:szCs w:val="22"/>
        </w:rPr>
        <w:t xml:space="preserve">study used web-tracking data to </w:t>
      </w:r>
      <w:r w:rsidRPr="002F3D7A">
        <w:rPr>
          <w:szCs w:val="22"/>
        </w:rPr>
        <w:t>address</w:t>
      </w:r>
      <w:r>
        <w:rPr>
          <w:szCs w:val="22"/>
        </w:rPr>
        <w:t xml:space="preserve"> </w:t>
      </w:r>
      <w:r w:rsidRPr="002F3D7A">
        <w:rPr>
          <w:szCs w:val="22"/>
        </w:rPr>
        <w:t>differences</w:t>
      </w:r>
      <w:r>
        <w:rPr>
          <w:szCs w:val="22"/>
        </w:rPr>
        <w:t xml:space="preserve"> </w:t>
      </w:r>
      <w:r w:rsidRPr="002F3D7A">
        <w:rPr>
          <w:szCs w:val="22"/>
        </w:rPr>
        <w:t xml:space="preserve">between credit and noncredit learners and between </w:t>
      </w:r>
      <w:r>
        <w:rPr>
          <w:szCs w:val="22"/>
        </w:rPr>
        <w:t xml:space="preserve">students scoring high and low on the quizzes.  </w:t>
      </w:r>
      <w:r w:rsidRPr="00901549">
        <w:rPr>
          <w:szCs w:val="22"/>
        </w:rPr>
        <w:t>The study received institutional review board approval as a secondary data analysis.  Usage was determined through time spent with the online material.  Key variables analyzed in the research included time spent in an online session, as well as time spent with various content modality materials:</w:t>
      </w:r>
    </w:p>
    <w:p w14:paraId="006C29B0" w14:textId="77777777" w:rsidR="002F69D1" w:rsidRPr="00901549" w:rsidRDefault="002F69D1" w:rsidP="00795B56">
      <w:pPr>
        <w:pStyle w:val="ListParagraph"/>
        <w:numPr>
          <w:ilvl w:val="0"/>
          <w:numId w:val="17"/>
        </w:numPr>
        <w:spacing w:after="0"/>
        <w:rPr>
          <w:szCs w:val="22"/>
        </w:rPr>
      </w:pPr>
      <w:r w:rsidRPr="00901549">
        <w:rPr>
          <w:szCs w:val="22"/>
        </w:rPr>
        <w:t>Lessons: text plus pictures, discussion questions, and videos</w:t>
      </w:r>
    </w:p>
    <w:p w14:paraId="5087E2D5" w14:textId="77777777" w:rsidR="002F69D1" w:rsidRPr="00B246A4" w:rsidRDefault="002F69D1" w:rsidP="00795B56">
      <w:pPr>
        <w:pStyle w:val="ListParagraph"/>
        <w:numPr>
          <w:ilvl w:val="0"/>
          <w:numId w:val="17"/>
        </w:numPr>
        <w:spacing w:after="0"/>
        <w:rPr>
          <w:szCs w:val="22"/>
        </w:rPr>
      </w:pPr>
      <w:r w:rsidRPr="00B246A4">
        <w:rPr>
          <w:szCs w:val="22"/>
        </w:rPr>
        <w:t>Glossary (hyperlinks)</w:t>
      </w:r>
    </w:p>
    <w:p w14:paraId="0815F16E" w14:textId="77777777" w:rsidR="002F69D1" w:rsidRPr="00B246A4" w:rsidRDefault="002F69D1" w:rsidP="00795B56">
      <w:pPr>
        <w:pStyle w:val="ListParagraph"/>
        <w:numPr>
          <w:ilvl w:val="0"/>
          <w:numId w:val="17"/>
        </w:numPr>
        <w:spacing w:after="0"/>
        <w:rPr>
          <w:szCs w:val="22"/>
        </w:rPr>
      </w:pPr>
      <w:r w:rsidRPr="00B246A4">
        <w:rPr>
          <w:szCs w:val="22"/>
        </w:rPr>
        <w:t xml:space="preserve">Animations (dynamic visuals with text showing relationships and processes) </w:t>
      </w:r>
    </w:p>
    <w:p w14:paraId="4CDBC50E" w14:textId="77777777" w:rsidR="002F69D1" w:rsidRPr="00B246A4" w:rsidRDefault="002F69D1" w:rsidP="00795B56">
      <w:pPr>
        <w:pStyle w:val="ListParagraph"/>
        <w:numPr>
          <w:ilvl w:val="0"/>
          <w:numId w:val="17"/>
        </w:numPr>
        <w:rPr>
          <w:szCs w:val="22"/>
        </w:rPr>
      </w:pPr>
      <w:r w:rsidRPr="00B246A4">
        <w:rPr>
          <w:szCs w:val="22"/>
        </w:rPr>
        <w:t>Quizzes</w:t>
      </w:r>
    </w:p>
    <w:p w14:paraId="2623777D" w14:textId="77777777" w:rsidR="002F69D1" w:rsidRDefault="002F69D1" w:rsidP="00795B56">
      <w:pPr>
        <w:rPr>
          <w:szCs w:val="22"/>
        </w:rPr>
      </w:pPr>
      <w:r>
        <w:rPr>
          <w:szCs w:val="22"/>
        </w:rPr>
        <w:t>The PASSEL</w:t>
      </w:r>
      <w:r w:rsidRPr="002F3D7A">
        <w:rPr>
          <w:szCs w:val="22"/>
        </w:rPr>
        <w:t xml:space="preserve"> e</w:t>
      </w:r>
      <w:r>
        <w:rPr>
          <w:szCs w:val="22"/>
        </w:rPr>
        <w:t>-l</w:t>
      </w:r>
      <w:r w:rsidRPr="002F3D7A">
        <w:rPr>
          <w:szCs w:val="22"/>
        </w:rPr>
        <w:t>earning platform maintain</w:t>
      </w:r>
      <w:r>
        <w:rPr>
          <w:szCs w:val="22"/>
        </w:rPr>
        <w:t>ed</w:t>
      </w:r>
      <w:r w:rsidRPr="002F3D7A">
        <w:rPr>
          <w:szCs w:val="22"/>
        </w:rPr>
        <w:t xml:space="preserve"> logs of activity by recording data about learner clicks while the learner </w:t>
      </w:r>
      <w:r>
        <w:rPr>
          <w:szCs w:val="22"/>
        </w:rPr>
        <w:t>was</w:t>
      </w:r>
      <w:r w:rsidRPr="002F3D7A">
        <w:rPr>
          <w:szCs w:val="22"/>
        </w:rPr>
        <w:t xml:space="preserve"> </w:t>
      </w:r>
      <w:r>
        <w:rPr>
          <w:szCs w:val="22"/>
        </w:rPr>
        <w:t xml:space="preserve">logged in and </w:t>
      </w:r>
      <w:r w:rsidRPr="002F3D7A">
        <w:rPr>
          <w:szCs w:val="22"/>
        </w:rPr>
        <w:t xml:space="preserve">using the platform. </w:t>
      </w:r>
      <w:r>
        <w:rPr>
          <w:szCs w:val="22"/>
        </w:rPr>
        <w:t xml:space="preserve"> </w:t>
      </w:r>
      <w:r w:rsidRPr="002F3D7A">
        <w:rPr>
          <w:szCs w:val="22"/>
        </w:rPr>
        <w:t>This study explores trace data (816,979 log entries) obtained from 803 registered users of the PASSEL repository for approximately 4.5 years from August 2010 through February 2015.  Registered users ha</w:t>
      </w:r>
      <w:r>
        <w:rPr>
          <w:szCs w:val="22"/>
        </w:rPr>
        <w:t>d</w:t>
      </w:r>
      <w:r w:rsidRPr="002F3D7A">
        <w:rPr>
          <w:szCs w:val="22"/>
        </w:rPr>
        <w:t xml:space="preserve"> access to all PASSEL learning mat</w:t>
      </w:r>
      <w:r w:rsidRPr="002F3D7A">
        <w:rPr>
          <w:szCs w:val="22"/>
        </w:rPr>
        <w:t>e</w:t>
      </w:r>
      <w:r w:rsidRPr="002F3D7A">
        <w:rPr>
          <w:szCs w:val="22"/>
        </w:rPr>
        <w:t>rial</w:t>
      </w:r>
      <w:r>
        <w:rPr>
          <w:szCs w:val="22"/>
        </w:rPr>
        <w:t>s</w:t>
      </w:r>
      <w:r w:rsidRPr="002F3D7A">
        <w:rPr>
          <w:szCs w:val="22"/>
        </w:rPr>
        <w:t xml:space="preserve">, </w:t>
      </w:r>
      <w:r>
        <w:rPr>
          <w:szCs w:val="22"/>
        </w:rPr>
        <w:t xml:space="preserve">including </w:t>
      </w:r>
      <w:r w:rsidRPr="002F3D7A">
        <w:rPr>
          <w:szCs w:val="22"/>
        </w:rPr>
        <w:t xml:space="preserve">quizzes. </w:t>
      </w:r>
      <w:r>
        <w:rPr>
          <w:szCs w:val="22"/>
        </w:rPr>
        <w:t xml:space="preserve"> </w:t>
      </w:r>
      <w:r w:rsidRPr="002F3D7A">
        <w:rPr>
          <w:szCs w:val="22"/>
        </w:rPr>
        <w:t>Users access</w:t>
      </w:r>
      <w:r>
        <w:rPr>
          <w:szCs w:val="22"/>
        </w:rPr>
        <w:t>ed</w:t>
      </w:r>
      <w:r w:rsidRPr="002F3D7A">
        <w:rPr>
          <w:szCs w:val="22"/>
        </w:rPr>
        <w:t xml:space="preserve"> the material using a </w:t>
      </w:r>
      <w:r>
        <w:rPr>
          <w:szCs w:val="22"/>
        </w:rPr>
        <w:t>w</w:t>
      </w:r>
      <w:r w:rsidRPr="002F3D7A">
        <w:rPr>
          <w:szCs w:val="22"/>
        </w:rPr>
        <w:t xml:space="preserve">eb browser (Google Chrome, </w:t>
      </w:r>
      <w:r>
        <w:rPr>
          <w:szCs w:val="22"/>
        </w:rPr>
        <w:t xml:space="preserve">Mozilla </w:t>
      </w:r>
      <w:r w:rsidRPr="002F3D7A">
        <w:rPr>
          <w:szCs w:val="22"/>
        </w:rPr>
        <w:lastRenderedPageBreak/>
        <w:t>Firefox, Internet Explorer, etc.) connected to the Internet</w:t>
      </w:r>
      <w:r>
        <w:rPr>
          <w:szCs w:val="22"/>
        </w:rPr>
        <w:t>.  The user access logs</w:t>
      </w:r>
      <w:r w:rsidRPr="002F3D7A">
        <w:rPr>
          <w:szCs w:val="22"/>
        </w:rPr>
        <w:t xml:space="preserve"> contain</w:t>
      </w:r>
      <w:r>
        <w:rPr>
          <w:szCs w:val="22"/>
        </w:rPr>
        <w:t xml:space="preserve"> </w:t>
      </w:r>
      <w:r w:rsidRPr="002F3D7A">
        <w:rPr>
          <w:szCs w:val="22"/>
        </w:rPr>
        <w:t xml:space="preserve">a time stamp, session identifier, a user identifier, and a text string, which is the </w:t>
      </w:r>
      <w:r>
        <w:rPr>
          <w:szCs w:val="22"/>
        </w:rPr>
        <w:t>w</w:t>
      </w:r>
      <w:r w:rsidRPr="002F3D7A">
        <w:rPr>
          <w:szCs w:val="22"/>
        </w:rPr>
        <w:t xml:space="preserve">eb browser GET request to the </w:t>
      </w:r>
      <w:r>
        <w:rPr>
          <w:szCs w:val="22"/>
        </w:rPr>
        <w:t>w</w:t>
      </w:r>
      <w:r w:rsidRPr="002F3D7A">
        <w:rPr>
          <w:szCs w:val="22"/>
        </w:rPr>
        <w:t xml:space="preserve">eb server. </w:t>
      </w:r>
      <w:r>
        <w:rPr>
          <w:szCs w:val="22"/>
        </w:rPr>
        <w:t xml:space="preserve"> </w:t>
      </w:r>
      <w:r w:rsidRPr="002F3D7A">
        <w:rPr>
          <w:szCs w:val="22"/>
        </w:rPr>
        <w:t>Parsing the GET string allow</w:t>
      </w:r>
      <w:r>
        <w:rPr>
          <w:szCs w:val="22"/>
        </w:rPr>
        <w:t>ed</w:t>
      </w:r>
      <w:r w:rsidRPr="002F3D7A">
        <w:rPr>
          <w:szCs w:val="22"/>
        </w:rPr>
        <w:t xml:space="preserve"> extraction of the type and identifier of learning material accessed (e.g.</w:t>
      </w:r>
      <w:r>
        <w:rPr>
          <w:szCs w:val="22"/>
        </w:rPr>
        <w:t>,</w:t>
      </w:r>
      <w:r w:rsidRPr="002F3D7A">
        <w:rPr>
          <w:szCs w:val="22"/>
        </w:rPr>
        <w:t xml:space="preserve"> lesson page, animation, glossary, and quiz question). </w:t>
      </w:r>
      <w:r>
        <w:rPr>
          <w:szCs w:val="22"/>
        </w:rPr>
        <w:t xml:space="preserve"> </w:t>
      </w:r>
      <w:r w:rsidRPr="002F3D7A">
        <w:rPr>
          <w:szCs w:val="22"/>
        </w:rPr>
        <w:t>In essence, this log mai</w:t>
      </w:r>
      <w:r w:rsidRPr="002F3D7A">
        <w:rPr>
          <w:szCs w:val="22"/>
        </w:rPr>
        <w:t>n</w:t>
      </w:r>
      <w:r w:rsidRPr="002F3D7A">
        <w:rPr>
          <w:szCs w:val="22"/>
        </w:rPr>
        <w:t>tain</w:t>
      </w:r>
      <w:r>
        <w:rPr>
          <w:szCs w:val="22"/>
        </w:rPr>
        <w:t>ed</w:t>
      </w:r>
      <w:r w:rsidRPr="002F3D7A">
        <w:rPr>
          <w:szCs w:val="22"/>
        </w:rPr>
        <w:t xml:space="preserve"> user data about every mouse click that load</w:t>
      </w:r>
      <w:r>
        <w:rPr>
          <w:szCs w:val="22"/>
        </w:rPr>
        <w:t>ed</w:t>
      </w:r>
      <w:r w:rsidRPr="002F3D7A">
        <w:rPr>
          <w:szCs w:val="22"/>
        </w:rPr>
        <w:t xml:space="preserve"> a new material in </w:t>
      </w:r>
      <w:r>
        <w:rPr>
          <w:szCs w:val="22"/>
        </w:rPr>
        <w:t>a user’s</w:t>
      </w:r>
      <w:r w:rsidRPr="002F3D7A">
        <w:rPr>
          <w:szCs w:val="22"/>
        </w:rPr>
        <w:t xml:space="preserve"> </w:t>
      </w:r>
      <w:r>
        <w:rPr>
          <w:szCs w:val="22"/>
        </w:rPr>
        <w:t>w</w:t>
      </w:r>
      <w:r w:rsidRPr="002F3D7A">
        <w:rPr>
          <w:szCs w:val="22"/>
        </w:rPr>
        <w:t xml:space="preserve">eb browser. </w:t>
      </w:r>
      <w:r>
        <w:rPr>
          <w:szCs w:val="22"/>
        </w:rPr>
        <w:t xml:space="preserve"> </w:t>
      </w:r>
      <w:r w:rsidRPr="002F3D7A">
        <w:rPr>
          <w:szCs w:val="22"/>
        </w:rPr>
        <w:t xml:space="preserve">When a user </w:t>
      </w:r>
      <w:r>
        <w:rPr>
          <w:szCs w:val="22"/>
        </w:rPr>
        <w:t>was</w:t>
      </w:r>
      <w:r w:rsidRPr="002F3D7A">
        <w:rPr>
          <w:szCs w:val="22"/>
        </w:rPr>
        <w:t xml:space="preserve"> not in an active session, a new session identifier </w:t>
      </w:r>
      <w:r>
        <w:rPr>
          <w:szCs w:val="22"/>
        </w:rPr>
        <w:t>wa</w:t>
      </w:r>
      <w:r w:rsidRPr="002F3D7A">
        <w:rPr>
          <w:szCs w:val="22"/>
        </w:rPr>
        <w:t>s used for logging during a learning se</w:t>
      </w:r>
      <w:r w:rsidRPr="002F3D7A">
        <w:rPr>
          <w:szCs w:val="22"/>
        </w:rPr>
        <w:t>s</w:t>
      </w:r>
      <w:r w:rsidRPr="002F3D7A">
        <w:rPr>
          <w:szCs w:val="22"/>
        </w:rPr>
        <w:t xml:space="preserve">sion. The assigned session identifier </w:t>
      </w:r>
      <w:r>
        <w:rPr>
          <w:szCs w:val="22"/>
        </w:rPr>
        <w:t>was</w:t>
      </w:r>
      <w:r w:rsidRPr="002F3D7A">
        <w:rPr>
          <w:szCs w:val="22"/>
        </w:rPr>
        <w:t xml:space="preserve"> removed when the </w:t>
      </w:r>
      <w:r>
        <w:rPr>
          <w:szCs w:val="22"/>
        </w:rPr>
        <w:t>w</w:t>
      </w:r>
      <w:r w:rsidRPr="002F3D7A">
        <w:rPr>
          <w:szCs w:val="22"/>
        </w:rPr>
        <w:t xml:space="preserve">eb browser </w:t>
      </w:r>
      <w:r>
        <w:rPr>
          <w:szCs w:val="22"/>
        </w:rPr>
        <w:t>wa</w:t>
      </w:r>
      <w:r w:rsidRPr="002F3D7A">
        <w:rPr>
          <w:szCs w:val="22"/>
        </w:rPr>
        <w:t>s closed.</w:t>
      </w:r>
    </w:p>
    <w:p w14:paraId="39ABC23D" w14:textId="77777777" w:rsidR="002F69D1" w:rsidRDefault="002F69D1" w:rsidP="00795B56">
      <w:pPr>
        <w:rPr>
          <w:szCs w:val="22"/>
        </w:rPr>
      </w:pPr>
      <w:r w:rsidRPr="002F3D7A">
        <w:rPr>
          <w:szCs w:val="22"/>
        </w:rPr>
        <w:t xml:space="preserve">For purposes of this study, we categorized archived learner data as either </w:t>
      </w:r>
      <w:r w:rsidRPr="00616394">
        <w:rPr>
          <w:i/>
          <w:szCs w:val="22"/>
        </w:rPr>
        <w:t>credit learner</w:t>
      </w:r>
      <w:r w:rsidRPr="00616394">
        <w:rPr>
          <w:szCs w:val="22"/>
        </w:rPr>
        <w:t xml:space="preserve"> or </w:t>
      </w:r>
      <w:r w:rsidRPr="00616394">
        <w:rPr>
          <w:i/>
          <w:szCs w:val="22"/>
        </w:rPr>
        <w:t>noncredit lear</w:t>
      </w:r>
      <w:r w:rsidRPr="00616394">
        <w:rPr>
          <w:i/>
          <w:szCs w:val="22"/>
        </w:rPr>
        <w:t>n</w:t>
      </w:r>
      <w:r w:rsidRPr="00616394">
        <w:rPr>
          <w:i/>
          <w:szCs w:val="22"/>
        </w:rPr>
        <w:t>e</w:t>
      </w:r>
      <w:r w:rsidRPr="00795B56">
        <w:rPr>
          <w:i/>
          <w:szCs w:val="22"/>
        </w:rPr>
        <w:t>r</w:t>
      </w:r>
      <w:r w:rsidRPr="0065079C">
        <w:rPr>
          <w:szCs w:val="22"/>
        </w:rPr>
        <w:t xml:space="preserve"> </w:t>
      </w:r>
      <w:r w:rsidRPr="00616394">
        <w:rPr>
          <w:szCs w:val="22"/>
        </w:rPr>
        <w:t xml:space="preserve">based upon the </w:t>
      </w:r>
      <w:r>
        <w:rPr>
          <w:szCs w:val="22"/>
        </w:rPr>
        <w:t>PASS</w:t>
      </w:r>
      <w:r w:rsidR="00AB2F01">
        <w:rPr>
          <w:szCs w:val="22"/>
        </w:rPr>
        <w:t>E</w:t>
      </w:r>
      <w:r>
        <w:rPr>
          <w:szCs w:val="22"/>
        </w:rPr>
        <w:t xml:space="preserve">L </w:t>
      </w:r>
      <w:r w:rsidRPr="00616394">
        <w:rPr>
          <w:szCs w:val="22"/>
        </w:rPr>
        <w:t xml:space="preserve">class or community the user was enrolled in.  A </w:t>
      </w:r>
      <w:r w:rsidRPr="00616394">
        <w:rPr>
          <w:i/>
          <w:szCs w:val="22"/>
        </w:rPr>
        <w:t xml:space="preserve">credit learner </w:t>
      </w:r>
      <w:r w:rsidRPr="002F3D7A">
        <w:rPr>
          <w:szCs w:val="22"/>
        </w:rPr>
        <w:t xml:space="preserve">was someone who was enrolled in a college academic credit course that was utilizing the PASSEL resource.  This could be an undergraduate or a graduate level course.  Data </w:t>
      </w:r>
      <w:r>
        <w:rPr>
          <w:szCs w:val="22"/>
        </w:rPr>
        <w:t>were</w:t>
      </w:r>
      <w:r w:rsidRPr="002F3D7A">
        <w:rPr>
          <w:szCs w:val="22"/>
        </w:rPr>
        <w:t xml:space="preserve"> unavailable to know exactly how </w:t>
      </w:r>
      <w:r>
        <w:rPr>
          <w:szCs w:val="22"/>
        </w:rPr>
        <w:t>each</w:t>
      </w:r>
      <w:r w:rsidRPr="002F3D7A">
        <w:rPr>
          <w:szCs w:val="22"/>
        </w:rPr>
        <w:t xml:space="preserve"> academic course instructor chose to use the PASSEL materials, but we know from informal conversations that it </w:t>
      </w:r>
      <w:r>
        <w:rPr>
          <w:szCs w:val="22"/>
        </w:rPr>
        <w:t>varied widely, including:</w:t>
      </w:r>
    </w:p>
    <w:p w14:paraId="0D47711C" w14:textId="77777777" w:rsidR="00EA24F3" w:rsidRPr="0065079C" w:rsidRDefault="002F69D1" w:rsidP="00795B56">
      <w:pPr>
        <w:pStyle w:val="ListParagraph"/>
        <w:numPr>
          <w:ilvl w:val="0"/>
          <w:numId w:val="16"/>
        </w:numPr>
        <w:spacing w:after="0"/>
        <w:contextualSpacing w:val="0"/>
        <w:rPr>
          <w:szCs w:val="22"/>
        </w:rPr>
      </w:pPr>
      <w:r w:rsidRPr="00AB2F01">
        <w:rPr>
          <w:szCs w:val="22"/>
        </w:rPr>
        <w:t>Providing students with a list of PASSEL learning objects to use simply as supplemental m</w:t>
      </w:r>
      <w:r w:rsidRPr="00AB2F01">
        <w:rPr>
          <w:szCs w:val="22"/>
        </w:rPr>
        <w:t>a</w:t>
      </w:r>
      <w:r w:rsidRPr="00AB2F01">
        <w:rPr>
          <w:szCs w:val="22"/>
        </w:rPr>
        <w:t>terial (so not required of students);</w:t>
      </w:r>
    </w:p>
    <w:p w14:paraId="08CAF593" w14:textId="77777777" w:rsidR="002F69D1" w:rsidRPr="0065079C" w:rsidRDefault="002F69D1" w:rsidP="00795B56">
      <w:pPr>
        <w:pStyle w:val="ListParagraph"/>
        <w:numPr>
          <w:ilvl w:val="0"/>
          <w:numId w:val="16"/>
        </w:numPr>
        <w:spacing w:after="0"/>
        <w:contextualSpacing w:val="0"/>
        <w:rPr>
          <w:szCs w:val="22"/>
        </w:rPr>
      </w:pPr>
      <w:r w:rsidRPr="0065079C">
        <w:rPr>
          <w:szCs w:val="22"/>
        </w:rPr>
        <w:t>Using as practice quizzes, of which select questions would be used in graded quizzes;</w:t>
      </w:r>
    </w:p>
    <w:p w14:paraId="6D3BB6EE" w14:textId="77777777" w:rsidR="002F69D1" w:rsidRPr="0065079C" w:rsidRDefault="002F69D1" w:rsidP="00795B56">
      <w:pPr>
        <w:pStyle w:val="ListParagraph"/>
        <w:numPr>
          <w:ilvl w:val="0"/>
          <w:numId w:val="16"/>
        </w:numPr>
        <w:rPr>
          <w:szCs w:val="22"/>
        </w:rPr>
      </w:pPr>
      <w:r w:rsidRPr="0065079C">
        <w:rPr>
          <w:szCs w:val="22"/>
        </w:rPr>
        <w:t>Using PASSEL quizzes as a certain percentage of the students’ course grade.  Even when PASSEL quizzes were requirements of a student’s grade, most of the time students were given unlimited quiz tries and time to complete them in order to reach their desired score.  Quizzes typically contain 10 multiple choice questions, drawing from quiz banks to allow students to see different questions each time they take a quiz.</w:t>
      </w:r>
    </w:p>
    <w:p w14:paraId="26E5C0F3" w14:textId="77777777" w:rsidR="002F69D1" w:rsidRDefault="002F69D1" w:rsidP="00795B56">
      <w:pPr>
        <w:rPr>
          <w:szCs w:val="22"/>
        </w:rPr>
      </w:pPr>
      <w:r w:rsidRPr="002F3D7A">
        <w:rPr>
          <w:szCs w:val="22"/>
        </w:rPr>
        <w:t xml:space="preserve">A </w:t>
      </w:r>
      <w:r w:rsidRPr="00616394">
        <w:rPr>
          <w:i/>
          <w:szCs w:val="22"/>
        </w:rPr>
        <w:t>noncredit</w:t>
      </w:r>
      <w:r w:rsidRPr="00616394">
        <w:rPr>
          <w:szCs w:val="22"/>
        </w:rPr>
        <w:t xml:space="preserve"> </w:t>
      </w:r>
      <w:r w:rsidRPr="002F3D7A">
        <w:rPr>
          <w:szCs w:val="22"/>
        </w:rPr>
        <w:t>learner was someone who was not enrolled in an academic credit-leading</w:t>
      </w:r>
      <w:r>
        <w:rPr>
          <w:szCs w:val="22"/>
        </w:rPr>
        <w:t xml:space="preserve"> course.</w:t>
      </w:r>
      <w:r w:rsidR="0065079C">
        <w:rPr>
          <w:szCs w:val="22"/>
        </w:rPr>
        <w:t xml:space="preserve"> </w:t>
      </w:r>
      <w:r>
        <w:rPr>
          <w:szCs w:val="22"/>
        </w:rPr>
        <w:t xml:space="preserve"> These learn</w:t>
      </w:r>
      <w:r w:rsidRPr="002F3D7A">
        <w:rPr>
          <w:szCs w:val="22"/>
        </w:rPr>
        <w:t>ers also varied greatly</w:t>
      </w:r>
      <w:r>
        <w:rPr>
          <w:szCs w:val="22"/>
        </w:rPr>
        <w:t xml:space="preserve">.  They represented </w:t>
      </w:r>
      <w:r w:rsidRPr="002F3D7A">
        <w:rPr>
          <w:szCs w:val="22"/>
        </w:rPr>
        <w:t>those participating in a pro</w:t>
      </w:r>
      <w:r>
        <w:rPr>
          <w:szCs w:val="22"/>
        </w:rPr>
        <w:t>fessional development trai</w:t>
      </w:r>
      <w:r>
        <w:rPr>
          <w:szCs w:val="22"/>
        </w:rPr>
        <w:t>n</w:t>
      </w:r>
      <w:r>
        <w:rPr>
          <w:szCs w:val="22"/>
        </w:rPr>
        <w:t>ing (</w:t>
      </w:r>
      <w:r w:rsidRPr="002F3D7A">
        <w:rPr>
          <w:szCs w:val="22"/>
        </w:rPr>
        <w:t xml:space="preserve">possibly to earn </w:t>
      </w:r>
      <w:r>
        <w:rPr>
          <w:szCs w:val="22"/>
        </w:rPr>
        <w:t>c</w:t>
      </w:r>
      <w:r w:rsidRPr="002F3D7A">
        <w:rPr>
          <w:szCs w:val="22"/>
        </w:rPr>
        <w:t xml:space="preserve">ontinuing </w:t>
      </w:r>
      <w:r>
        <w:rPr>
          <w:szCs w:val="22"/>
        </w:rPr>
        <w:t>e</w:t>
      </w:r>
      <w:r w:rsidRPr="002F3D7A">
        <w:rPr>
          <w:szCs w:val="22"/>
        </w:rPr>
        <w:t>ducation credit towards a professional license or even a simple ce</w:t>
      </w:r>
      <w:r w:rsidRPr="002F3D7A">
        <w:rPr>
          <w:szCs w:val="22"/>
        </w:rPr>
        <w:t>r</w:t>
      </w:r>
      <w:r w:rsidRPr="002F3D7A">
        <w:rPr>
          <w:szCs w:val="22"/>
        </w:rPr>
        <w:t>tificate of completion</w:t>
      </w:r>
      <w:r>
        <w:rPr>
          <w:szCs w:val="22"/>
        </w:rPr>
        <w:t>).  Other noncredit learning uses could include</w:t>
      </w:r>
      <w:r w:rsidRPr="002F3D7A">
        <w:rPr>
          <w:szCs w:val="22"/>
        </w:rPr>
        <w:t xml:space="preserve"> an instructor testing materials for possible use in a course they teach (credit or noncredit)</w:t>
      </w:r>
      <w:r>
        <w:rPr>
          <w:szCs w:val="22"/>
        </w:rPr>
        <w:t xml:space="preserve">.  Additional examples could be </w:t>
      </w:r>
      <w:r w:rsidRPr="002F3D7A">
        <w:rPr>
          <w:szCs w:val="22"/>
        </w:rPr>
        <w:t>profe</w:t>
      </w:r>
      <w:r w:rsidRPr="002F3D7A">
        <w:rPr>
          <w:szCs w:val="22"/>
        </w:rPr>
        <w:t>s</w:t>
      </w:r>
      <w:r w:rsidRPr="002F3D7A">
        <w:rPr>
          <w:szCs w:val="22"/>
        </w:rPr>
        <w:t>sionals looking for explanations on a science principle to help them with a challenge face</w:t>
      </w:r>
      <w:r>
        <w:rPr>
          <w:szCs w:val="22"/>
        </w:rPr>
        <w:t xml:space="preserve">d on their job, </w:t>
      </w:r>
      <w:r w:rsidRPr="002F3D7A">
        <w:rPr>
          <w:szCs w:val="22"/>
        </w:rPr>
        <w:t>a student researching a concept for a class project</w:t>
      </w:r>
      <w:r>
        <w:rPr>
          <w:szCs w:val="22"/>
        </w:rPr>
        <w:t>,</w:t>
      </w:r>
      <w:r w:rsidRPr="002F3D7A">
        <w:rPr>
          <w:szCs w:val="22"/>
        </w:rPr>
        <w:t xml:space="preserve"> </w:t>
      </w:r>
      <w:r>
        <w:rPr>
          <w:szCs w:val="22"/>
        </w:rPr>
        <w:t>or</w:t>
      </w:r>
      <w:r w:rsidRPr="002F3D7A">
        <w:rPr>
          <w:szCs w:val="22"/>
        </w:rPr>
        <w:t xml:space="preserve"> someone merely interested in a topic for self-learning.</w:t>
      </w:r>
    </w:p>
    <w:p w14:paraId="5727E0C0" w14:textId="77777777" w:rsidR="00EA24F3" w:rsidRDefault="002F69D1" w:rsidP="00795B56">
      <w:pPr>
        <w:rPr>
          <w:szCs w:val="22"/>
        </w:rPr>
      </w:pPr>
      <w:r w:rsidRPr="002F3D7A">
        <w:rPr>
          <w:szCs w:val="22"/>
        </w:rPr>
        <w:t xml:space="preserve">Classes or learning communities which were known to have both </w:t>
      </w:r>
      <w:r w:rsidRPr="00616394">
        <w:rPr>
          <w:szCs w:val="22"/>
        </w:rPr>
        <w:t>credit and noncredit</w:t>
      </w:r>
      <w:r w:rsidRPr="002F3D7A">
        <w:rPr>
          <w:szCs w:val="22"/>
        </w:rPr>
        <w:t xml:space="preserve"> learners were not included in this study, due to anonymity of individual student data and therefore inability to se</w:t>
      </w:r>
      <w:r w:rsidRPr="002F3D7A">
        <w:rPr>
          <w:szCs w:val="22"/>
        </w:rPr>
        <w:t>p</w:t>
      </w:r>
      <w:r w:rsidRPr="002F3D7A">
        <w:rPr>
          <w:szCs w:val="22"/>
        </w:rPr>
        <w:t>arate them based on credit</w:t>
      </w:r>
      <w:r>
        <w:rPr>
          <w:szCs w:val="22"/>
        </w:rPr>
        <w:t>-</w:t>
      </w:r>
      <w:r w:rsidRPr="002F3D7A">
        <w:rPr>
          <w:szCs w:val="22"/>
        </w:rPr>
        <w:t>pursuing goals or lack thereof.</w:t>
      </w:r>
    </w:p>
    <w:p w14:paraId="2FE6019D" w14:textId="77777777" w:rsidR="00177C43" w:rsidRDefault="00177C43" w:rsidP="00177C43">
      <w:pPr>
        <w:pStyle w:val="Heading2"/>
      </w:pPr>
      <w:r>
        <w:t>Data Analysis</w:t>
      </w:r>
    </w:p>
    <w:p w14:paraId="25D8B20A" w14:textId="77777777" w:rsidR="00EA24F3" w:rsidRDefault="003171F2" w:rsidP="00611B07">
      <w:pPr>
        <w:rPr>
          <w:szCs w:val="22"/>
        </w:rPr>
      </w:pPr>
      <w:r w:rsidRPr="00B246A4">
        <w:rPr>
          <w:szCs w:val="22"/>
        </w:rPr>
        <w:t>Two</w:t>
      </w:r>
      <w:r>
        <w:rPr>
          <w:szCs w:val="22"/>
        </w:rPr>
        <w:t xml:space="preserve"> different analysis approaches were used in this study.  First, descriptive statistical analysis was done at a macro level to explore the online usage behavior of learners and define the baseline for the two types of learners (credit and noncredit).  Looking at these two groups distinctly allows us to generalize our findings at the level of credit and noncredit learners and compare the overall diffe</w:t>
      </w:r>
      <w:r>
        <w:rPr>
          <w:szCs w:val="22"/>
        </w:rPr>
        <w:t>r</w:t>
      </w:r>
      <w:r>
        <w:rPr>
          <w:szCs w:val="22"/>
        </w:rPr>
        <w:t xml:space="preserve">ences between the two groups, addressing the first research question.  </w:t>
      </w:r>
      <w:r w:rsidRPr="002F3D7A">
        <w:rPr>
          <w:szCs w:val="22"/>
        </w:rPr>
        <w:t>Descriptive statistics were computed from the user logs for the time</w:t>
      </w:r>
      <w:r>
        <w:rPr>
          <w:szCs w:val="22"/>
        </w:rPr>
        <w:t xml:space="preserve"> credit and noncredit learners</w:t>
      </w:r>
      <w:r w:rsidRPr="002F3D7A">
        <w:rPr>
          <w:szCs w:val="22"/>
        </w:rPr>
        <w:t xml:space="preserve"> spent in a session, lesson, animation, glossary, and quiz.  </w:t>
      </w:r>
      <w:r>
        <w:rPr>
          <w:szCs w:val="22"/>
        </w:rPr>
        <w:t>G</w:t>
      </w:r>
      <w:r w:rsidRPr="002F3D7A">
        <w:rPr>
          <w:szCs w:val="22"/>
        </w:rPr>
        <w:t xml:space="preserve">raphs of the </w:t>
      </w:r>
      <w:r>
        <w:rPr>
          <w:szCs w:val="22"/>
        </w:rPr>
        <w:t xml:space="preserve">time spent on task </w:t>
      </w:r>
      <w:r w:rsidRPr="002F3D7A">
        <w:rPr>
          <w:szCs w:val="22"/>
        </w:rPr>
        <w:t>distributions were skewed by a very few large estimates</w:t>
      </w:r>
      <w:r>
        <w:rPr>
          <w:szCs w:val="22"/>
        </w:rPr>
        <w:t xml:space="preserve"> (i.e., minutes),</w:t>
      </w:r>
      <w:r w:rsidRPr="002F3D7A">
        <w:rPr>
          <w:szCs w:val="22"/>
        </w:rPr>
        <w:t xml:space="preserve"> which we suspect</w:t>
      </w:r>
      <w:r>
        <w:rPr>
          <w:szCs w:val="22"/>
        </w:rPr>
        <w:t>ed</w:t>
      </w:r>
      <w:r w:rsidRPr="002F3D7A">
        <w:rPr>
          <w:szCs w:val="22"/>
        </w:rPr>
        <w:t xml:space="preserve"> represent</w:t>
      </w:r>
      <w:r>
        <w:rPr>
          <w:szCs w:val="22"/>
        </w:rPr>
        <w:t>ed</w:t>
      </w:r>
      <w:r w:rsidRPr="002F3D7A">
        <w:rPr>
          <w:szCs w:val="22"/>
        </w:rPr>
        <w:t xml:space="preserve"> </w:t>
      </w:r>
      <w:r>
        <w:rPr>
          <w:szCs w:val="22"/>
        </w:rPr>
        <w:t>learners</w:t>
      </w:r>
      <w:r w:rsidRPr="002F3D7A">
        <w:rPr>
          <w:szCs w:val="22"/>
        </w:rPr>
        <w:t xml:space="preserve"> taking a break</w:t>
      </w:r>
      <w:r>
        <w:rPr>
          <w:szCs w:val="22"/>
        </w:rPr>
        <w:t xml:space="preserve"> and wal</w:t>
      </w:r>
      <w:r>
        <w:rPr>
          <w:szCs w:val="22"/>
        </w:rPr>
        <w:t>k</w:t>
      </w:r>
      <w:r>
        <w:rPr>
          <w:szCs w:val="22"/>
        </w:rPr>
        <w:t xml:space="preserve">ing away from the computer. </w:t>
      </w:r>
      <w:r w:rsidRPr="002F3D7A">
        <w:rPr>
          <w:szCs w:val="22"/>
        </w:rPr>
        <w:t xml:space="preserve"> </w:t>
      </w:r>
      <w:r>
        <w:rPr>
          <w:szCs w:val="22"/>
        </w:rPr>
        <w:t xml:space="preserve">To account for this occurrence, </w:t>
      </w:r>
      <w:r w:rsidRPr="002F3D7A">
        <w:rPr>
          <w:szCs w:val="22"/>
        </w:rPr>
        <w:t>median</w:t>
      </w:r>
      <w:r>
        <w:rPr>
          <w:szCs w:val="22"/>
        </w:rPr>
        <w:t xml:space="preserve"> time</w:t>
      </w:r>
      <w:r w:rsidRPr="002F3D7A">
        <w:rPr>
          <w:szCs w:val="22"/>
        </w:rPr>
        <w:t xml:space="preserve">s are reported rather than </w:t>
      </w:r>
      <w:r>
        <w:rPr>
          <w:szCs w:val="22"/>
        </w:rPr>
        <w:t>averages</w:t>
      </w:r>
      <w:r w:rsidRPr="002F3D7A">
        <w:rPr>
          <w:szCs w:val="22"/>
        </w:rPr>
        <w:t xml:space="preserve">.  We also computed statistics for </w:t>
      </w:r>
      <w:r>
        <w:rPr>
          <w:szCs w:val="22"/>
        </w:rPr>
        <w:t>each</w:t>
      </w:r>
      <w:r w:rsidRPr="002F3D7A">
        <w:rPr>
          <w:szCs w:val="22"/>
        </w:rPr>
        <w:t xml:space="preserve"> </w:t>
      </w:r>
      <w:r>
        <w:rPr>
          <w:szCs w:val="22"/>
        </w:rPr>
        <w:t>learner average</w:t>
      </w:r>
      <w:r w:rsidRPr="002F3D7A">
        <w:rPr>
          <w:szCs w:val="22"/>
        </w:rPr>
        <w:t xml:space="preserve"> quiz score and number of quizzes taken. </w:t>
      </w:r>
    </w:p>
    <w:p w14:paraId="0532E07C" w14:textId="1D738862" w:rsidR="00EA24F3" w:rsidRPr="00901549" w:rsidRDefault="003171F2" w:rsidP="002B1B0E">
      <w:pPr>
        <w:rPr>
          <w:szCs w:val="22"/>
        </w:rPr>
      </w:pPr>
      <w:r>
        <w:rPr>
          <w:szCs w:val="22"/>
        </w:rPr>
        <w:t>Further, both credit and noncredit user groups were subdivided into clusters of learners based upon quiz performance measures (i</w:t>
      </w:r>
      <w:r w:rsidR="006212F5">
        <w:rPr>
          <w:szCs w:val="22"/>
        </w:rPr>
        <w:t>.</w:t>
      </w:r>
      <w:r>
        <w:rPr>
          <w:szCs w:val="22"/>
        </w:rPr>
        <w:t>e</w:t>
      </w:r>
      <w:r w:rsidR="006212F5">
        <w:rPr>
          <w:szCs w:val="22"/>
        </w:rPr>
        <w:t>.,</w:t>
      </w:r>
      <w:r>
        <w:rPr>
          <w:szCs w:val="22"/>
        </w:rPr>
        <w:t xml:space="preserve"> high quiz scores and low quiz scores).  </w:t>
      </w:r>
      <w:r w:rsidRPr="002F3D7A">
        <w:rPr>
          <w:szCs w:val="22"/>
        </w:rPr>
        <w:t xml:space="preserve">Clustering approaches for partitioning learners have been successfully used in past research to discover patterns reflecting user behaviors </w:t>
      </w:r>
      <w:r>
        <w:rPr>
          <w:szCs w:val="22"/>
        </w:rPr>
        <w:t>such as starting and replying to discussion forum threads and participating in chats</w:t>
      </w:r>
      <w:r w:rsidRPr="002F3D7A">
        <w:rPr>
          <w:szCs w:val="22"/>
        </w:rPr>
        <w:t xml:space="preserve"> (Tal</w:t>
      </w:r>
      <w:r w:rsidRPr="002F3D7A">
        <w:rPr>
          <w:szCs w:val="22"/>
        </w:rPr>
        <w:t>a</w:t>
      </w:r>
      <w:r w:rsidRPr="002F3D7A">
        <w:rPr>
          <w:szCs w:val="22"/>
        </w:rPr>
        <w:lastRenderedPageBreak/>
        <w:t xml:space="preserve">vera &amp; </w:t>
      </w:r>
      <w:proofErr w:type="spellStart"/>
      <w:r w:rsidRPr="002F3D7A">
        <w:rPr>
          <w:szCs w:val="22"/>
        </w:rPr>
        <w:t>Gaudioso</w:t>
      </w:r>
      <w:proofErr w:type="spellEnd"/>
      <w:r w:rsidRPr="002F3D7A">
        <w:rPr>
          <w:szCs w:val="22"/>
        </w:rPr>
        <w:t xml:space="preserve">, 2004), </w:t>
      </w:r>
      <w:r>
        <w:rPr>
          <w:szCs w:val="22"/>
        </w:rPr>
        <w:t>recognizing</w:t>
      </w:r>
      <w:r w:rsidRPr="002F3D7A">
        <w:rPr>
          <w:szCs w:val="22"/>
        </w:rPr>
        <w:t xml:space="preserve"> learner detrimental learning behaviors (</w:t>
      </w:r>
      <w:proofErr w:type="spellStart"/>
      <w:r w:rsidRPr="002F3D7A">
        <w:rPr>
          <w:szCs w:val="22"/>
        </w:rPr>
        <w:t>Amershi</w:t>
      </w:r>
      <w:proofErr w:type="spellEnd"/>
      <w:r w:rsidRPr="002F3D7A">
        <w:rPr>
          <w:szCs w:val="22"/>
        </w:rPr>
        <w:t xml:space="preserve"> &amp; </w:t>
      </w:r>
      <w:proofErr w:type="spellStart"/>
      <w:r w:rsidRPr="002F3D7A">
        <w:rPr>
          <w:szCs w:val="22"/>
        </w:rPr>
        <w:t>Conati</w:t>
      </w:r>
      <w:proofErr w:type="spellEnd"/>
      <w:r w:rsidRPr="002F3D7A">
        <w:rPr>
          <w:szCs w:val="22"/>
        </w:rPr>
        <w:t>, 2006), and identify</w:t>
      </w:r>
      <w:r>
        <w:rPr>
          <w:szCs w:val="22"/>
        </w:rPr>
        <w:t>ing</w:t>
      </w:r>
      <w:r w:rsidRPr="002F3D7A">
        <w:rPr>
          <w:szCs w:val="22"/>
        </w:rPr>
        <w:t xml:space="preserve"> </w:t>
      </w:r>
      <w:r w:rsidRPr="00173266">
        <w:rPr>
          <w:i/>
          <w:szCs w:val="22"/>
        </w:rPr>
        <w:t>completing, auditing, disengaging,</w:t>
      </w:r>
      <w:r w:rsidRPr="002F3D7A">
        <w:rPr>
          <w:szCs w:val="22"/>
        </w:rPr>
        <w:t xml:space="preserve"> and </w:t>
      </w:r>
      <w:r w:rsidRPr="00173266">
        <w:rPr>
          <w:i/>
          <w:szCs w:val="22"/>
        </w:rPr>
        <w:t>sampling</w:t>
      </w:r>
      <w:r w:rsidRPr="002F3D7A">
        <w:rPr>
          <w:szCs w:val="22"/>
        </w:rPr>
        <w:t xml:space="preserve"> learners in MOOCs (</w:t>
      </w:r>
      <w:proofErr w:type="spellStart"/>
      <w:r w:rsidRPr="002F3D7A">
        <w:rPr>
          <w:szCs w:val="22"/>
        </w:rPr>
        <w:t>Kizil</w:t>
      </w:r>
      <w:r>
        <w:rPr>
          <w:szCs w:val="22"/>
        </w:rPr>
        <w:t>c</w:t>
      </w:r>
      <w:r w:rsidRPr="002F3D7A">
        <w:rPr>
          <w:szCs w:val="22"/>
        </w:rPr>
        <w:t>ec</w:t>
      </w:r>
      <w:proofErr w:type="spellEnd"/>
      <w:r w:rsidR="00A96302">
        <w:rPr>
          <w:szCs w:val="22"/>
        </w:rPr>
        <w:t xml:space="preserve"> et al.</w:t>
      </w:r>
      <w:r w:rsidRPr="002F3D7A">
        <w:rPr>
          <w:szCs w:val="22"/>
        </w:rPr>
        <w:t>, 2013).</w:t>
      </w:r>
      <w:r>
        <w:rPr>
          <w:szCs w:val="22"/>
        </w:rPr>
        <w:t xml:space="preserve">  </w:t>
      </w:r>
      <w:r w:rsidRPr="00901549">
        <w:rPr>
          <w:szCs w:val="22"/>
        </w:rPr>
        <w:t xml:space="preserve">Talavera and </w:t>
      </w:r>
      <w:proofErr w:type="spellStart"/>
      <w:r w:rsidRPr="00901549">
        <w:rPr>
          <w:szCs w:val="22"/>
        </w:rPr>
        <w:t>Gaudioso</w:t>
      </w:r>
      <w:proofErr w:type="spellEnd"/>
      <w:r w:rsidR="00A96302">
        <w:rPr>
          <w:szCs w:val="22"/>
        </w:rPr>
        <w:t xml:space="preserve"> (2004)</w:t>
      </w:r>
      <w:r w:rsidRPr="00901549">
        <w:rPr>
          <w:szCs w:val="22"/>
        </w:rPr>
        <w:t xml:space="preserve"> focused on using clustering techniques for identifying patterns in collaborative behavior among lea</w:t>
      </w:r>
      <w:r w:rsidR="00B246A4" w:rsidRPr="00901549">
        <w:rPr>
          <w:szCs w:val="22"/>
        </w:rPr>
        <w:t>r</w:t>
      </w:r>
      <w:r w:rsidRPr="00901549">
        <w:rPr>
          <w:szCs w:val="22"/>
        </w:rPr>
        <w:t xml:space="preserve">ners using an online learning platform; </w:t>
      </w:r>
      <w:proofErr w:type="spellStart"/>
      <w:r w:rsidRPr="00901549">
        <w:rPr>
          <w:szCs w:val="22"/>
        </w:rPr>
        <w:t>Amershi</w:t>
      </w:r>
      <w:proofErr w:type="spellEnd"/>
      <w:r w:rsidRPr="00901549">
        <w:rPr>
          <w:szCs w:val="22"/>
        </w:rPr>
        <w:t xml:space="preserve"> </w:t>
      </w:r>
      <w:r w:rsidR="002A0436" w:rsidRPr="00901549">
        <w:rPr>
          <w:szCs w:val="22"/>
        </w:rPr>
        <w:t>and</w:t>
      </w:r>
      <w:r w:rsidRPr="00901549">
        <w:rPr>
          <w:szCs w:val="22"/>
        </w:rPr>
        <w:t xml:space="preserve"> </w:t>
      </w:r>
      <w:proofErr w:type="spellStart"/>
      <w:r w:rsidRPr="00901549">
        <w:rPr>
          <w:szCs w:val="22"/>
        </w:rPr>
        <w:t>Conati</w:t>
      </w:r>
      <w:proofErr w:type="spellEnd"/>
      <w:r w:rsidR="00A96302">
        <w:rPr>
          <w:szCs w:val="22"/>
        </w:rPr>
        <w:t xml:space="preserve"> (2006)</w:t>
      </w:r>
      <w:r w:rsidRPr="00901549">
        <w:rPr>
          <w:szCs w:val="22"/>
        </w:rPr>
        <w:t xml:space="preserve"> used clustering for adaptive support for learner interaction with the online system. </w:t>
      </w:r>
      <w:proofErr w:type="spellStart"/>
      <w:r w:rsidRPr="00901549">
        <w:rPr>
          <w:szCs w:val="22"/>
        </w:rPr>
        <w:t>Kizilcec</w:t>
      </w:r>
      <w:proofErr w:type="spellEnd"/>
      <w:r w:rsidR="00A96302">
        <w:rPr>
          <w:szCs w:val="22"/>
        </w:rPr>
        <w:t xml:space="preserve"> et al. (2013)</w:t>
      </w:r>
      <w:r w:rsidRPr="00901549">
        <w:rPr>
          <w:szCs w:val="22"/>
        </w:rPr>
        <w:t xml:space="preserve"> used longitudinal patterns of engagement using video lectures and assessments as features to cluster engagement trajectories of learners.</w:t>
      </w:r>
    </w:p>
    <w:p w14:paraId="0BDAA707" w14:textId="77777777" w:rsidR="003171F2" w:rsidRPr="00901549" w:rsidRDefault="003171F2" w:rsidP="002B1B0E">
      <w:pPr>
        <w:rPr>
          <w:szCs w:val="22"/>
        </w:rPr>
      </w:pPr>
      <w:r w:rsidRPr="00901549">
        <w:rPr>
          <w:szCs w:val="22"/>
        </w:rPr>
        <w:t xml:space="preserve">We employed a widely used clustering algorithm known as </w:t>
      </w:r>
      <w:r w:rsidRPr="00901549">
        <w:rPr>
          <w:i/>
          <w:szCs w:val="22"/>
        </w:rPr>
        <w:t>k</w:t>
      </w:r>
      <w:r w:rsidRPr="00901549">
        <w:rPr>
          <w:szCs w:val="22"/>
        </w:rPr>
        <w:t>-means (</w:t>
      </w:r>
      <w:proofErr w:type="spellStart"/>
      <w:r w:rsidRPr="00901549">
        <w:rPr>
          <w:szCs w:val="22"/>
        </w:rPr>
        <w:t>Madhulatha</w:t>
      </w:r>
      <w:proofErr w:type="spellEnd"/>
      <w:r w:rsidRPr="00901549">
        <w:rPr>
          <w:szCs w:val="22"/>
        </w:rPr>
        <w:t>, 2012) which ident</w:t>
      </w:r>
      <w:r w:rsidRPr="00901549">
        <w:rPr>
          <w:szCs w:val="22"/>
        </w:rPr>
        <w:t>i</w:t>
      </w:r>
      <w:r w:rsidRPr="00901549">
        <w:rPr>
          <w:szCs w:val="22"/>
        </w:rPr>
        <w:t xml:space="preserve">fies a given number of </w:t>
      </w:r>
      <w:r w:rsidRPr="00901549">
        <w:rPr>
          <w:i/>
          <w:szCs w:val="22"/>
        </w:rPr>
        <w:t>k</w:t>
      </w:r>
      <w:r w:rsidRPr="00901549">
        <w:rPr>
          <w:szCs w:val="22"/>
        </w:rPr>
        <w:t xml:space="preserve"> clusters by minimizing the distance measure of the </w:t>
      </w:r>
      <w:r w:rsidRPr="00901549">
        <w:rPr>
          <w:i/>
          <w:szCs w:val="22"/>
        </w:rPr>
        <w:t>n</w:t>
      </w:r>
      <w:r w:rsidRPr="00901549">
        <w:rPr>
          <w:szCs w:val="22"/>
        </w:rPr>
        <w:t xml:space="preserve">-dimensional features.  In our dataset, we used average quiz score, quiz score standard deviation, </w:t>
      </w:r>
      <w:r w:rsidRPr="00901549">
        <w:t>total number of quizzes taken, and number distinct lessons where the quiz came from for each learner recorded in PASSEL</w:t>
      </w:r>
      <w:r w:rsidRPr="00901549">
        <w:rPr>
          <w:color w:val="538135" w:themeColor="accent6" w:themeShade="BF"/>
        </w:rPr>
        <w:t xml:space="preserve"> </w:t>
      </w:r>
      <w:r w:rsidRPr="00901549">
        <w:rPr>
          <w:szCs w:val="22"/>
        </w:rPr>
        <w:t>as clustering features. Using average quiz score and score standard deviation as features for clustering ensured grouping PASSEL users based on similar quiz scores and variability; adding the total number of quizzes enabled clustering learners who had similar number of quizzes from unique lessons. Since we could represent only three variables on the 3D diagram, we selected to use number of quizzes as the metric for visualization. This decision is supported by the moderately high (.59) correlation b</w:t>
      </w:r>
      <w:r w:rsidRPr="00901549">
        <w:rPr>
          <w:szCs w:val="22"/>
        </w:rPr>
        <w:t>e</w:t>
      </w:r>
      <w:r w:rsidRPr="00901549">
        <w:rPr>
          <w:szCs w:val="22"/>
        </w:rPr>
        <w:t xml:space="preserve">tween the number of lessons and total number of quizzes. </w:t>
      </w:r>
    </w:p>
    <w:p w14:paraId="4F678645" w14:textId="63B395BA" w:rsidR="00FC6FCF" w:rsidRDefault="003171F2" w:rsidP="001C39FB">
      <w:pPr>
        <w:rPr>
          <w:szCs w:val="22"/>
        </w:rPr>
      </w:pPr>
      <w:r w:rsidRPr="00901549">
        <w:rPr>
          <w:szCs w:val="22"/>
        </w:rPr>
        <w:t xml:space="preserve">The </w:t>
      </w:r>
      <w:r w:rsidRPr="00901549">
        <w:rPr>
          <w:i/>
          <w:szCs w:val="22"/>
        </w:rPr>
        <w:t>k</w:t>
      </w:r>
      <w:r w:rsidRPr="00901549">
        <w:rPr>
          <w:szCs w:val="22"/>
        </w:rPr>
        <w:t xml:space="preserve"> value (number of clusters) was determined a priori by visually inspecting the </w:t>
      </w:r>
      <w:r w:rsidRPr="00901549">
        <w:rPr>
          <w:i/>
          <w:szCs w:val="22"/>
        </w:rPr>
        <w:t>k</w:t>
      </w:r>
      <w:r w:rsidRPr="00901549">
        <w:rPr>
          <w:szCs w:val="22"/>
        </w:rPr>
        <w:t xml:space="preserve"> clusters by</w:t>
      </w:r>
      <w:r w:rsidRPr="002F3D7A">
        <w:rPr>
          <w:szCs w:val="22"/>
        </w:rPr>
        <w:t xml:space="preserve"> </w:t>
      </w:r>
      <w:r w:rsidR="00DE698C" w:rsidRPr="002F3D7A">
        <w:rPr>
          <w:szCs w:val="22"/>
        </w:rPr>
        <w:t>incrementing</w:t>
      </w:r>
      <w:r w:rsidRPr="002F3D7A">
        <w:rPr>
          <w:szCs w:val="22"/>
        </w:rPr>
        <w:t xml:space="preserve"> the values of </w:t>
      </w:r>
      <w:r w:rsidRPr="00795B56">
        <w:rPr>
          <w:i/>
          <w:szCs w:val="22"/>
        </w:rPr>
        <w:t>k</w:t>
      </w:r>
      <w:r w:rsidRPr="002F3D7A">
        <w:rPr>
          <w:szCs w:val="22"/>
        </w:rPr>
        <w:t xml:space="preserve"> and qualitatively observing the </w:t>
      </w:r>
      <w:r w:rsidRPr="00795B56">
        <w:rPr>
          <w:i/>
          <w:szCs w:val="22"/>
        </w:rPr>
        <w:t>k</w:t>
      </w:r>
      <w:r w:rsidRPr="002F3D7A">
        <w:rPr>
          <w:szCs w:val="22"/>
        </w:rPr>
        <w:t xml:space="preserve"> clusters. </w:t>
      </w:r>
      <w:r>
        <w:rPr>
          <w:szCs w:val="22"/>
        </w:rPr>
        <w:t xml:space="preserve"> </w:t>
      </w:r>
      <w:r w:rsidRPr="002F3D7A">
        <w:rPr>
          <w:szCs w:val="22"/>
        </w:rPr>
        <w:t xml:space="preserve">However, the qualitative method involves ambiguity and subjectivity. </w:t>
      </w:r>
      <w:r>
        <w:rPr>
          <w:szCs w:val="22"/>
        </w:rPr>
        <w:t xml:space="preserve"> </w:t>
      </w:r>
      <w:r w:rsidRPr="002F3D7A">
        <w:rPr>
          <w:szCs w:val="22"/>
        </w:rPr>
        <w:t>We used a common method</w:t>
      </w:r>
      <w:r>
        <w:rPr>
          <w:szCs w:val="22"/>
        </w:rPr>
        <w:t xml:space="preserve">, </w:t>
      </w:r>
      <w:r w:rsidRPr="002F3D7A">
        <w:rPr>
          <w:szCs w:val="22"/>
        </w:rPr>
        <w:t>called</w:t>
      </w:r>
      <w:r>
        <w:rPr>
          <w:szCs w:val="22"/>
        </w:rPr>
        <w:t xml:space="preserve"> the elbow m</w:t>
      </w:r>
      <w:r w:rsidRPr="002F3D7A">
        <w:rPr>
          <w:szCs w:val="22"/>
        </w:rPr>
        <w:t>ethod</w:t>
      </w:r>
      <w:r>
        <w:rPr>
          <w:szCs w:val="22"/>
        </w:rPr>
        <w:t>,</w:t>
      </w:r>
      <w:r w:rsidR="00FE59AD">
        <w:rPr>
          <w:szCs w:val="22"/>
        </w:rPr>
        <w:t xml:space="preserve"> </w:t>
      </w:r>
      <w:r w:rsidRPr="002F3D7A">
        <w:rPr>
          <w:szCs w:val="22"/>
        </w:rPr>
        <w:t>to remove th</w:t>
      </w:r>
      <w:r>
        <w:rPr>
          <w:szCs w:val="22"/>
        </w:rPr>
        <w:t>is</w:t>
      </w:r>
      <w:r w:rsidRPr="002F3D7A">
        <w:rPr>
          <w:szCs w:val="22"/>
        </w:rPr>
        <w:t xml:space="preserve"> subjectivity (</w:t>
      </w:r>
      <w:proofErr w:type="spellStart"/>
      <w:r w:rsidRPr="002F3D7A">
        <w:rPr>
          <w:szCs w:val="22"/>
        </w:rPr>
        <w:t>Madhulatha</w:t>
      </w:r>
      <w:proofErr w:type="spellEnd"/>
      <w:r w:rsidRPr="002F3D7A">
        <w:rPr>
          <w:szCs w:val="22"/>
        </w:rPr>
        <w:t xml:space="preserve">, 2012). </w:t>
      </w:r>
      <w:r>
        <w:rPr>
          <w:szCs w:val="22"/>
        </w:rPr>
        <w:t xml:space="preserve"> </w:t>
      </w:r>
      <w:r w:rsidRPr="002F3D7A">
        <w:rPr>
          <w:szCs w:val="22"/>
        </w:rPr>
        <w:t xml:space="preserve">The simple idea behind the </w:t>
      </w:r>
      <w:r>
        <w:rPr>
          <w:szCs w:val="22"/>
        </w:rPr>
        <w:t>e</w:t>
      </w:r>
      <w:r w:rsidRPr="002F3D7A">
        <w:rPr>
          <w:szCs w:val="22"/>
        </w:rPr>
        <w:t>lbow method is to i</w:t>
      </w:r>
      <w:r w:rsidRPr="002F3D7A">
        <w:rPr>
          <w:szCs w:val="22"/>
        </w:rPr>
        <w:t>n</w:t>
      </w:r>
      <w:r w:rsidRPr="002F3D7A">
        <w:rPr>
          <w:szCs w:val="22"/>
        </w:rPr>
        <w:t xml:space="preserve">crementally increase the value of </w:t>
      </w:r>
      <w:r w:rsidRPr="00795B56">
        <w:rPr>
          <w:i/>
          <w:szCs w:val="22"/>
        </w:rPr>
        <w:t>k</w:t>
      </w:r>
      <w:r w:rsidRPr="002F3D7A">
        <w:rPr>
          <w:szCs w:val="22"/>
        </w:rPr>
        <w:t xml:space="preserve"> and for each incremental value compute the sum of squared error (SSE) between each member of the cluster and the cluster centroid. </w:t>
      </w:r>
      <w:r>
        <w:rPr>
          <w:szCs w:val="22"/>
        </w:rPr>
        <w:t xml:space="preserve"> </w:t>
      </w:r>
      <w:r w:rsidRPr="002F3D7A">
        <w:rPr>
          <w:szCs w:val="22"/>
        </w:rPr>
        <w:t xml:space="preserve">Plotting SSE against </w:t>
      </w:r>
      <w:r w:rsidRPr="00795B56">
        <w:rPr>
          <w:i/>
          <w:szCs w:val="22"/>
        </w:rPr>
        <w:t>k</w:t>
      </w:r>
      <w:r w:rsidRPr="002F3D7A">
        <w:rPr>
          <w:szCs w:val="22"/>
        </w:rPr>
        <w:t xml:space="preserve"> will d</w:t>
      </w:r>
      <w:r w:rsidRPr="002F3D7A">
        <w:rPr>
          <w:szCs w:val="22"/>
        </w:rPr>
        <w:t>e</w:t>
      </w:r>
      <w:r w:rsidRPr="002F3D7A">
        <w:rPr>
          <w:szCs w:val="22"/>
        </w:rPr>
        <w:t xml:space="preserve">crease the value of SSE </w:t>
      </w:r>
      <w:proofErr w:type="spellStart"/>
      <w:r w:rsidRPr="002F3D7A">
        <w:rPr>
          <w:szCs w:val="22"/>
        </w:rPr>
        <w:t xml:space="preserve">as </w:t>
      </w:r>
      <w:r w:rsidRPr="00795B56">
        <w:rPr>
          <w:i/>
          <w:szCs w:val="22"/>
        </w:rPr>
        <w:t>k</w:t>
      </w:r>
      <w:proofErr w:type="spellEnd"/>
      <w:r w:rsidRPr="002F3D7A">
        <w:rPr>
          <w:szCs w:val="22"/>
        </w:rPr>
        <w:t xml:space="preserve"> is increased. </w:t>
      </w:r>
      <w:r>
        <w:rPr>
          <w:szCs w:val="22"/>
        </w:rPr>
        <w:t xml:space="preserve"> </w:t>
      </w:r>
      <w:r w:rsidRPr="002F3D7A">
        <w:rPr>
          <w:szCs w:val="22"/>
        </w:rPr>
        <w:t>At a certain value of</w:t>
      </w:r>
      <w:r w:rsidRPr="000A7EF0">
        <w:rPr>
          <w:szCs w:val="22"/>
        </w:rPr>
        <w:t xml:space="preserve"> </w:t>
      </w:r>
      <w:r w:rsidRPr="00795B56">
        <w:rPr>
          <w:i/>
          <w:szCs w:val="22"/>
        </w:rPr>
        <w:t>k</w:t>
      </w:r>
      <w:r>
        <w:rPr>
          <w:szCs w:val="22"/>
        </w:rPr>
        <w:t>,</w:t>
      </w:r>
      <w:r w:rsidRPr="002F3D7A">
        <w:rPr>
          <w:szCs w:val="22"/>
        </w:rPr>
        <w:t xml:space="preserve"> the marginal decrease in the SSE will be very low and the curve will display an </w:t>
      </w:r>
      <w:r>
        <w:rPr>
          <w:szCs w:val="22"/>
        </w:rPr>
        <w:t>e</w:t>
      </w:r>
      <w:r w:rsidRPr="002F3D7A">
        <w:rPr>
          <w:szCs w:val="22"/>
        </w:rPr>
        <w:t xml:space="preserve">lbow effect. </w:t>
      </w:r>
      <w:r>
        <w:rPr>
          <w:szCs w:val="22"/>
        </w:rPr>
        <w:t xml:space="preserve"> </w:t>
      </w:r>
      <w:r w:rsidRPr="002F3D7A">
        <w:rPr>
          <w:szCs w:val="22"/>
        </w:rPr>
        <w:t xml:space="preserve">One may select the value of </w:t>
      </w:r>
      <w:r w:rsidRPr="00795B56">
        <w:rPr>
          <w:i/>
          <w:szCs w:val="22"/>
        </w:rPr>
        <w:t>k</w:t>
      </w:r>
      <w:r w:rsidRPr="002F3D7A">
        <w:rPr>
          <w:szCs w:val="22"/>
        </w:rPr>
        <w:t xml:space="preserve"> at the hinge of the </w:t>
      </w:r>
      <w:r>
        <w:rPr>
          <w:szCs w:val="22"/>
        </w:rPr>
        <w:t>e</w:t>
      </w:r>
      <w:r w:rsidRPr="002F3D7A">
        <w:rPr>
          <w:szCs w:val="22"/>
        </w:rPr>
        <w:t>lbow.</w:t>
      </w:r>
      <w:r>
        <w:rPr>
          <w:rStyle w:val="CommentReference"/>
          <w:szCs w:val="22"/>
        </w:rPr>
        <w:t xml:space="preserve">  </w:t>
      </w:r>
      <w:r w:rsidRPr="00795B56">
        <w:rPr>
          <w:rStyle w:val="CommentReference"/>
          <w:sz w:val="22"/>
          <w:szCs w:val="22"/>
        </w:rPr>
        <w:t>In this study,</w:t>
      </w:r>
      <w:r>
        <w:rPr>
          <w:rStyle w:val="CommentReference"/>
          <w:szCs w:val="22"/>
        </w:rPr>
        <w:t xml:space="preserve"> </w:t>
      </w:r>
      <w:r>
        <w:rPr>
          <w:szCs w:val="22"/>
        </w:rPr>
        <w:t>our goal was</w:t>
      </w:r>
      <w:r w:rsidRPr="00D8018D">
        <w:rPr>
          <w:szCs w:val="22"/>
        </w:rPr>
        <w:t xml:space="preserve"> to choose a small value of </w:t>
      </w:r>
      <w:r w:rsidRPr="00795B56">
        <w:rPr>
          <w:i/>
          <w:szCs w:val="22"/>
        </w:rPr>
        <w:t>k</w:t>
      </w:r>
      <w:r w:rsidRPr="00D8018D">
        <w:rPr>
          <w:szCs w:val="22"/>
        </w:rPr>
        <w:t xml:space="preserve"> that has a low SSE</w:t>
      </w:r>
      <w:r>
        <w:rPr>
          <w:szCs w:val="22"/>
        </w:rPr>
        <w:t>.  Fi</w:t>
      </w:r>
      <w:r>
        <w:rPr>
          <w:szCs w:val="22"/>
        </w:rPr>
        <w:t>g</w:t>
      </w:r>
      <w:r>
        <w:rPr>
          <w:szCs w:val="22"/>
        </w:rPr>
        <w:t>ure 2 shows that w</w:t>
      </w:r>
      <w:r w:rsidRPr="005B0B36">
        <w:rPr>
          <w:szCs w:val="22"/>
        </w:rPr>
        <w:t xml:space="preserve">hile </w:t>
      </w:r>
      <w:r>
        <w:rPr>
          <w:szCs w:val="22"/>
        </w:rPr>
        <w:t xml:space="preserve">the method is not perfect and is </w:t>
      </w:r>
      <w:r w:rsidRPr="005B0B36">
        <w:rPr>
          <w:szCs w:val="22"/>
        </w:rPr>
        <w:t xml:space="preserve">prone to heuristic processes, </w:t>
      </w:r>
      <w:r>
        <w:rPr>
          <w:szCs w:val="22"/>
        </w:rPr>
        <w:t>one</w:t>
      </w:r>
      <w:r w:rsidRPr="005B0B36">
        <w:rPr>
          <w:szCs w:val="22"/>
        </w:rPr>
        <w:t xml:space="preserve"> can definit</w:t>
      </w:r>
      <w:r w:rsidRPr="005B0B36">
        <w:rPr>
          <w:szCs w:val="22"/>
        </w:rPr>
        <w:t>e</w:t>
      </w:r>
      <w:r w:rsidRPr="005B0B36">
        <w:rPr>
          <w:szCs w:val="22"/>
        </w:rPr>
        <w:t xml:space="preserve">ly see a flattening out </w:t>
      </w:r>
      <w:r>
        <w:rPr>
          <w:szCs w:val="22"/>
        </w:rPr>
        <w:t>near</w:t>
      </w:r>
      <w:r w:rsidRPr="005B0B36">
        <w:rPr>
          <w:szCs w:val="22"/>
        </w:rPr>
        <w:t xml:space="preserve"> </w:t>
      </w:r>
      <w:r>
        <w:rPr>
          <w:szCs w:val="22"/>
        </w:rPr>
        <w:t>eight</w:t>
      </w:r>
      <w:r w:rsidRPr="005B0B36">
        <w:rPr>
          <w:szCs w:val="22"/>
        </w:rPr>
        <w:t xml:space="preserve"> clusters</w:t>
      </w:r>
      <w:r>
        <w:rPr>
          <w:szCs w:val="22"/>
        </w:rPr>
        <w:t>,</w:t>
      </w:r>
      <w:r w:rsidRPr="00D8018D">
        <w:rPr>
          <w:szCs w:val="22"/>
        </w:rPr>
        <w:t xml:space="preserve"> and the elbow</w:t>
      </w:r>
      <w:r>
        <w:rPr>
          <w:szCs w:val="22"/>
        </w:rPr>
        <w:t xml:space="preserve"> starting near eight clusters</w:t>
      </w:r>
      <w:r w:rsidRPr="00D8018D">
        <w:rPr>
          <w:szCs w:val="22"/>
        </w:rPr>
        <w:t xml:space="preserve"> represents where we </w:t>
      </w:r>
      <w:r>
        <w:rPr>
          <w:szCs w:val="22"/>
        </w:rPr>
        <w:t>selected that the dataset has</w:t>
      </w:r>
      <w:r w:rsidRPr="00D8018D">
        <w:rPr>
          <w:szCs w:val="22"/>
        </w:rPr>
        <w:t xml:space="preserve"> diminishing returns by increasing </w:t>
      </w:r>
      <w:r w:rsidRPr="00795B56">
        <w:rPr>
          <w:i/>
          <w:szCs w:val="22"/>
        </w:rPr>
        <w:t>k</w:t>
      </w:r>
      <w:r w:rsidRPr="00D8018D">
        <w:rPr>
          <w:szCs w:val="22"/>
        </w:rPr>
        <w:t>.</w:t>
      </w:r>
    </w:p>
    <w:p w14:paraId="5196F229" w14:textId="77777777" w:rsidR="00FC6FCF" w:rsidRDefault="00FC6FCF" w:rsidP="007A1037">
      <w:pPr>
        <w:jc w:val="center"/>
        <w:rPr>
          <w:szCs w:val="22"/>
        </w:rPr>
      </w:pPr>
      <w:r>
        <w:rPr>
          <w:noProof/>
        </w:rPr>
        <w:drawing>
          <wp:inline distT="0" distB="0" distL="0" distR="0" wp14:anchorId="042F45AC" wp14:editId="16A22A33">
            <wp:extent cx="5400675" cy="2090261"/>
            <wp:effectExtent l="0" t="0" r="0" b="571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print"/>
                    <a:stretch>
                      <a:fillRect/>
                    </a:stretch>
                  </pic:blipFill>
                  <pic:spPr>
                    <a:xfrm>
                      <a:off x="0" y="0"/>
                      <a:ext cx="5400675" cy="2090261"/>
                    </a:xfrm>
                    <a:prstGeom prst="rect">
                      <a:avLst/>
                    </a:prstGeom>
                  </pic:spPr>
                </pic:pic>
              </a:graphicData>
            </a:graphic>
          </wp:inline>
        </w:drawing>
      </w:r>
    </w:p>
    <w:p w14:paraId="53A326EE" w14:textId="4C9655DC" w:rsidR="00FC6FCF" w:rsidRPr="007A1037" w:rsidRDefault="002A352E" w:rsidP="007A1037">
      <w:pPr>
        <w:jc w:val="center"/>
        <w:rPr>
          <w:b/>
        </w:rPr>
      </w:pPr>
      <w:r w:rsidRPr="007A1037" w:rsidDel="00FC6FCF">
        <w:rPr>
          <w:b/>
        </w:rPr>
        <w:t xml:space="preserve">Figure 2. Sum of squared error plotted for the noncredit dataset (left) </w:t>
      </w:r>
      <w:r w:rsidR="007A1037">
        <w:rPr>
          <w:b/>
        </w:rPr>
        <w:br/>
      </w:r>
      <w:r w:rsidRPr="007A1037" w:rsidDel="00FC6FCF">
        <w:rPr>
          <w:b/>
        </w:rPr>
        <w:t xml:space="preserve">and credit dataset right) with the mean quiz score, score standard deviation, </w:t>
      </w:r>
      <w:r w:rsidR="007A1037">
        <w:rPr>
          <w:b/>
        </w:rPr>
        <w:br/>
      </w:r>
      <w:r w:rsidRPr="007A1037" w:rsidDel="00FC6FCF">
        <w:rPr>
          <w:b/>
        </w:rPr>
        <w:t>and total number of quizzes taken as data features.</w:t>
      </w:r>
    </w:p>
    <w:p w14:paraId="28A7D7F0" w14:textId="77777777" w:rsidR="002A352E" w:rsidRDefault="002A352E" w:rsidP="007A1037">
      <w:r w:rsidRPr="002227D4">
        <w:t>Separate cluster analyses were run for credit and noncredit learners to identify high and low quiz scoring clusters.  Finally, we used usage descri</w:t>
      </w:r>
      <w:r>
        <w:t>ptive statistics for these high/low clusters to address research question 2 and as the basis to develop learning approach profiles (research question 3).</w:t>
      </w:r>
    </w:p>
    <w:p w14:paraId="77083498" w14:textId="77777777" w:rsidR="00177C43" w:rsidRDefault="00177C43" w:rsidP="00177C43">
      <w:pPr>
        <w:pStyle w:val="Heading1"/>
      </w:pPr>
      <w:r>
        <w:lastRenderedPageBreak/>
        <w:t>Results</w:t>
      </w:r>
    </w:p>
    <w:p w14:paraId="10D6A7AE" w14:textId="77777777" w:rsidR="00177C43" w:rsidRDefault="00BD1724" w:rsidP="00177C43">
      <w:pPr>
        <w:pStyle w:val="Heading2"/>
      </w:pPr>
      <w:r>
        <w:t>Descriptive Statistics for Credit/Noncredit</w:t>
      </w:r>
    </w:p>
    <w:p w14:paraId="15EB6673" w14:textId="77777777" w:rsidR="00440AF2" w:rsidRPr="0064699E" w:rsidRDefault="00721B7F" w:rsidP="0064699E">
      <w:pPr>
        <w:rPr>
          <w:szCs w:val="22"/>
        </w:rPr>
      </w:pPr>
      <w:r>
        <w:rPr>
          <w:szCs w:val="22"/>
        </w:rPr>
        <w:t xml:space="preserve">In the first steps of analyzing the historic </w:t>
      </w:r>
      <w:r w:rsidRPr="002F3D7A">
        <w:rPr>
          <w:szCs w:val="22"/>
        </w:rPr>
        <w:t>8</w:t>
      </w:r>
      <w:r>
        <w:rPr>
          <w:szCs w:val="22"/>
        </w:rPr>
        <w:t>16,979 log entries from</w:t>
      </w:r>
      <w:r w:rsidRPr="002F3D7A">
        <w:rPr>
          <w:szCs w:val="22"/>
        </w:rPr>
        <w:t xml:space="preserve"> 803 </w:t>
      </w:r>
      <w:r>
        <w:rPr>
          <w:szCs w:val="22"/>
        </w:rPr>
        <w:t>users, those who never took a quiz were removed, leaving 518 users with useable data.</w:t>
      </w:r>
      <w:r w:rsidRPr="002F3D7A">
        <w:rPr>
          <w:szCs w:val="22"/>
        </w:rPr>
        <w:t xml:space="preserve">  </w:t>
      </w:r>
      <w:r>
        <w:rPr>
          <w:szCs w:val="22"/>
        </w:rPr>
        <w:t>Next, descriptive analytics were run to gain an overall understanding of learner time spent on key learning objects, as well as quiz scores, to ind</w:t>
      </w:r>
      <w:r>
        <w:rPr>
          <w:szCs w:val="22"/>
        </w:rPr>
        <w:t>i</w:t>
      </w:r>
      <w:r>
        <w:rPr>
          <w:szCs w:val="22"/>
        </w:rPr>
        <w:t xml:space="preserve">cate an estimated measure of knowledge obtained.  </w:t>
      </w:r>
      <w:r w:rsidRPr="002F3D7A">
        <w:rPr>
          <w:szCs w:val="22"/>
        </w:rPr>
        <w:t xml:space="preserve">Table 1 presents overall descriptive statistics for </w:t>
      </w:r>
      <w:r w:rsidRPr="00173266">
        <w:rPr>
          <w:szCs w:val="22"/>
        </w:rPr>
        <w:t>credit and noncredit le</w:t>
      </w:r>
      <w:r w:rsidRPr="002F3D7A">
        <w:rPr>
          <w:szCs w:val="22"/>
        </w:rPr>
        <w:t>arners</w:t>
      </w:r>
      <w:r>
        <w:rPr>
          <w:szCs w:val="22"/>
        </w:rPr>
        <w:t>; there are 186 credit individuals and 332 noncredit.  The table indicates each group’s average score and standard deviation on all quizzes they took.  Also notice the median time each group spent in a session (from time user logged on until logged off), as well as median time on animations, glossary words, within lesson text pages and taking a quiz.  Finally, the table ind</w:t>
      </w:r>
      <w:r>
        <w:rPr>
          <w:szCs w:val="22"/>
        </w:rPr>
        <w:t>i</w:t>
      </w:r>
      <w:r>
        <w:rPr>
          <w:szCs w:val="22"/>
        </w:rPr>
        <w:t>cates the number of quizzes taken by individuals within each group, which could be taking the same quiz multiple times or taking multiple quizzes a single time.</w:t>
      </w:r>
    </w:p>
    <w:p w14:paraId="02C61203" w14:textId="4661A7E7" w:rsidR="00CB64F0" w:rsidRDefault="00440AF2" w:rsidP="00CB64F0">
      <w:pPr>
        <w:jc w:val="center"/>
        <w:rPr>
          <w:b/>
          <w:szCs w:val="22"/>
        </w:rPr>
      </w:pPr>
      <w:r w:rsidRPr="006C5824">
        <w:rPr>
          <w:b/>
          <w:szCs w:val="22"/>
        </w:rPr>
        <w:t>Table 1. Credit versus noncredit</w:t>
      </w:r>
      <w:r>
        <w:rPr>
          <w:b/>
          <w:szCs w:val="22"/>
        </w:rPr>
        <w:t xml:space="preserve"> usage – Descriptive </w:t>
      </w:r>
      <w:r w:rsidR="00833E7F">
        <w:rPr>
          <w:b/>
          <w:szCs w:val="22"/>
        </w:rPr>
        <w:t>a</w:t>
      </w:r>
      <w:r>
        <w:rPr>
          <w:b/>
          <w:szCs w:val="22"/>
        </w:rPr>
        <w:t>nalysis</w:t>
      </w:r>
    </w:p>
    <w:tbl>
      <w:tblPr>
        <w:tblW w:w="8574" w:type="dxa"/>
        <w:jc w:val="center"/>
        <w:tblLayout w:type="fixed"/>
        <w:tblCellMar>
          <w:left w:w="40" w:type="dxa"/>
          <w:right w:w="40" w:type="dxa"/>
        </w:tblCellMar>
        <w:tblLook w:val="0000" w:firstRow="0" w:lastRow="0" w:firstColumn="0" w:lastColumn="0" w:noHBand="0" w:noVBand="0"/>
      </w:tblPr>
      <w:tblGrid>
        <w:gridCol w:w="622"/>
        <w:gridCol w:w="450"/>
        <w:gridCol w:w="1080"/>
        <w:gridCol w:w="900"/>
        <w:gridCol w:w="1048"/>
        <w:gridCol w:w="842"/>
        <w:gridCol w:w="900"/>
        <w:gridCol w:w="900"/>
        <w:gridCol w:w="810"/>
        <w:gridCol w:w="1022"/>
      </w:tblGrid>
      <w:tr w:rsidR="005D6AC3" w:rsidRPr="00DB6EFC" w14:paraId="3E19C6AA" w14:textId="77777777" w:rsidTr="001C39FB">
        <w:trPr>
          <w:trHeight w:val="300"/>
          <w:jc w:val="center"/>
        </w:trPr>
        <w:tc>
          <w:tcPr>
            <w:tcW w:w="622" w:type="dxa"/>
            <w:tcBorders>
              <w:top w:val="single" w:sz="6" w:space="0" w:color="000000"/>
              <w:left w:val="single" w:sz="6" w:space="0" w:color="000000"/>
              <w:bottom w:val="single" w:sz="6" w:space="0" w:color="000000"/>
              <w:right w:val="single" w:sz="6" w:space="0" w:color="000000"/>
            </w:tcBorders>
            <w:shd w:val="solid" w:color="C0C0C0" w:fill="auto"/>
            <w:vAlign w:val="center"/>
          </w:tcPr>
          <w:p w14:paraId="03ADB477" w14:textId="77777777" w:rsidR="00CB64F0" w:rsidRPr="005D6AC3" w:rsidRDefault="00833E7F" w:rsidP="001C39FB">
            <w:pPr>
              <w:jc w:val="center"/>
              <w:rPr>
                <w:snapToGrid w:val="0"/>
                <w:sz w:val="20"/>
                <w:szCs w:val="20"/>
              </w:rPr>
            </w:pPr>
            <w:r>
              <w:rPr>
                <w:snapToGrid w:val="0"/>
                <w:sz w:val="20"/>
                <w:szCs w:val="20"/>
              </w:rPr>
              <w:t>Cate-gory</w:t>
            </w:r>
          </w:p>
        </w:tc>
        <w:tc>
          <w:tcPr>
            <w:tcW w:w="450" w:type="dxa"/>
            <w:tcBorders>
              <w:top w:val="single" w:sz="6" w:space="0" w:color="000000"/>
              <w:left w:val="single" w:sz="6" w:space="0" w:color="000000"/>
              <w:bottom w:val="single" w:sz="6" w:space="0" w:color="000000"/>
              <w:right w:val="single" w:sz="6" w:space="0" w:color="000000"/>
            </w:tcBorders>
            <w:shd w:val="solid" w:color="C0C0C0" w:fill="auto"/>
            <w:vAlign w:val="center"/>
          </w:tcPr>
          <w:p w14:paraId="39F0F5A0" w14:textId="77777777" w:rsidR="00CB64F0" w:rsidRPr="005D6AC3" w:rsidRDefault="00E800CB" w:rsidP="001C39FB">
            <w:pPr>
              <w:spacing w:after="0"/>
              <w:jc w:val="center"/>
              <w:rPr>
                <w:i/>
                <w:snapToGrid w:val="0"/>
                <w:sz w:val="20"/>
                <w:szCs w:val="20"/>
              </w:rPr>
            </w:pPr>
            <w:r>
              <w:rPr>
                <w:i/>
                <w:snapToGrid w:val="0"/>
                <w:sz w:val="20"/>
                <w:szCs w:val="20"/>
              </w:rPr>
              <w:t>n</w:t>
            </w:r>
          </w:p>
        </w:tc>
        <w:tc>
          <w:tcPr>
            <w:tcW w:w="1080" w:type="dxa"/>
            <w:tcBorders>
              <w:top w:val="single" w:sz="6" w:space="0" w:color="000000"/>
              <w:left w:val="single" w:sz="6" w:space="0" w:color="000000"/>
              <w:bottom w:val="single" w:sz="6" w:space="0" w:color="000000"/>
              <w:right w:val="single" w:sz="6" w:space="0" w:color="000000"/>
            </w:tcBorders>
            <w:shd w:val="solid" w:color="C0C0C0" w:fill="auto"/>
            <w:vAlign w:val="center"/>
          </w:tcPr>
          <w:p w14:paraId="6C0BD507" w14:textId="77777777" w:rsidR="00CB64F0" w:rsidRPr="005D6AC3" w:rsidRDefault="005D6AC3" w:rsidP="001C39FB">
            <w:pPr>
              <w:jc w:val="center"/>
              <w:rPr>
                <w:snapToGrid w:val="0"/>
                <w:sz w:val="20"/>
                <w:szCs w:val="20"/>
              </w:rPr>
            </w:pPr>
            <w:r w:rsidRPr="005D6AC3">
              <w:rPr>
                <w:snapToGrid w:val="0"/>
                <w:sz w:val="20"/>
                <w:szCs w:val="20"/>
              </w:rPr>
              <w:t>Average Score</w:t>
            </w:r>
            <w:r w:rsidR="00CB64F0" w:rsidRPr="005D6AC3">
              <w:rPr>
                <w:snapToGrid w:val="0"/>
                <w:sz w:val="20"/>
                <w:szCs w:val="20"/>
              </w:rPr>
              <w:t xml:space="preserve"> / S</w:t>
            </w:r>
            <w:r w:rsidRPr="005D6AC3">
              <w:rPr>
                <w:snapToGrid w:val="0"/>
                <w:sz w:val="20"/>
                <w:szCs w:val="20"/>
              </w:rPr>
              <w:t>tandard Deviation</w:t>
            </w:r>
            <w:r w:rsidR="00CB64F0" w:rsidRPr="005D6AC3">
              <w:rPr>
                <w:snapToGrid w:val="0"/>
                <w:sz w:val="20"/>
                <w:szCs w:val="20"/>
              </w:rPr>
              <w:t xml:space="preserve">  (%)</w:t>
            </w:r>
          </w:p>
        </w:tc>
        <w:tc>
          <w:tcPr>
            <w:tcW w:w="900" w:type="dxa"/>
            <w:tcBorders>
              <w:top w:val="single" w:sz="6" w:space="0" w:color="000000"/>
              <w:left w:val="single" w:sz="6" w:space="0" w:color="000000"/>
              <w:bottom w:val="single" w:sz="6" w:space="0" w:color="000000"/>
              <w:right w:val="single" w:sz="6" w:space="0" w:color="000000"/>
            </w:tcBorders>
            <w:shd w:val="solid" w:color="C0C0C0" w:fill="auto"/>
            <w:vAlign w:val="center"/>
          </w:tcPr>
          <w:p w14:paraId="1CF85D43" w14:textId="77777777" w:rsidR="00CB64F0" w:rsidRPr="005D6AC3" w:rsidRDefault="00CB64F0" w:rsidP="001C39FB">
            <w:pPr>
              <w:jc w:val="center"/>
              <w:rPr>
                <w:snapToGrid w:val="0"/>
                <w:sz w:val="20"/>
                <w:szCs w:val="20"/>
              </w:rPr>
            </w:pPr>
            <w:r w:rsidRPr="005D6AC3">
              <w:rPr>
                <w:snapToGrid w:val="0"/>
                <w:sz w:val="20"/>
                <w:szCs w:val="20"/>
              </w:rPr>
              <w:t>S</w:t>
            </w:r>
            <w:r w:rsidR="005D6AC3" w:rsidRPr="005D6AC3">
              <w:rPr>
                <w:snapToGrid w:val="0"/>
                <w:sz w:val="20"/>
                <w:szCs w:val="20"/>
              </w:rPr>
              <w:t>ession Median</w:t>
            </w:r>
            <w:r w:rsidRPr="005D6AC3">
              <w:rPr>
                <w:snapToGrid w:val="0"/>
                <w:sz w:val="20"/>
                <w:szCs w:val="20"/>
              </w:rPr>
              <w:t xml:space="preserve"> (minutes)</w:t>
            </w:r>
          </w:p>
        </w:tc>
        <w:tc>
          <w:tcPr>
            <w:tcW w:w="1048" w:type="dxa"/>
            <w:tcBorders>
              <w:top w:val="single" w:sz="6" w:space="0" w:color="000000"/>
              <w:left w:val="single" w:sz="6" w:space="0" w:color="000000"/>
              <w:bottom w:val="single" w:sz="6" w:space="0" w:color="000000"/>
              <w:right w:val="single" w:sz="6" w:space="0" w:color="000000"/>
            </w:tcBorders>
            <w:shd w:val="solid" w:color="C0C0C0" w:fill="auto"/>
            <w:vAlign w:val="center"/>
          </w:tcPr>
          <w:p w14:paraId="7F1EA695" w14:textId="77777777" w:rsidR="00CB64F0" w:rsidRPr="005D6AC3" w:rsidRDefault="005D6AC3" w:rsidP="001C39FB">
            <w:pPr>
              <w:jc w:val="center"/>
              <w:rPr>
                <w:snapToGrid w:val="0"/>
                <w:sz w:val="20"/>
                <w:szCs w:val="20"/>
              </w:rPr>
            </w:pPr>
            <w:r w:rsidRPr="005D6AC3">
              <w:rPr>
                <w:snapToGrid w:val="0"/>
                <w:sz w:val="20"/>
                <w:szCs w:val="20"/>
              </w:rPr>
              <w:t xml:space="preserve">Animation Median </w:t>
            </w:r>
            <w:r w:rsidR="00CB64F0" w:rsidRPr="005D6AC3">
              <w:rPr>
                <w:snapToGrid w:val="0"/>
                <w:sz w:val="20"/>
                <w:szCs w:val="20"/>
              </w:rPr>
              <w:t>(minutes)</w:t>
            </w:r>
          </w:p>
        </w:tc>
        <w:tc>
          <w:tcPr>
            <w:tcW w:w="842" w:type="dxa"/>
            <w:tcBorders>
              <w:top w:val="single" w:sz="6" w:space="0" w:color="000000"/>
              <w:left w:val="single" w:sz="6" w:space="0" w:color="000000"/>
              <w:bottom w:val="single" w:sz="6" w:space="0" w:color="000000"/>
              <w:right w:val="single" w:sz="6" w:space="0" w:color="000000"/>
            </w:tcBorders>
            <w:shd w:val="solid" w:color="C0C0C0" w:fill="auto"/>
            <w:vAlign w:val="center"/>
          </w:tcPr>
          <w:p w14:paraId="55E99AC3" w14:textId="77777777" w:rsidR="00CB64F0" w:rsidRPr="005D6AC3" w:rsidRDefault="005D6AC3" w:rsidP="001C39FB">
            <w:pPr>
              <w:pStyle w:val="Heading4"/>
              <w:rPr>
                <w:b w:val="0"/>
                <w:sz w:val="20"/>
                <w:szCs w:val="20"/>
              </w:rPr>
            </w:pPr>
            <w:r w:rsidRPr="005D6AC3">
              <w:rPr>
                <w:b w:val="0"/>
                <w:sz w:val="20"/>
                <w:szCs w:val="20"/>
              </w:rPr>
              <w:t>Glossary Median</w:t>
            </w:r>
            <w:r w:rsidR="00CB64F0" w:rsidRPr="005D6AC3">
              <w:rPr>
                <w:b w:val="0"/>
                <w:sz w:val="20"/>
                <w:szCs w:val="20"/>
              </w:rPr>
              <w:t xml:space="preserve"> (minutes)</w:t>
            </w:r>
          </w:p>
        </w:tc>
        <w:tc>
          <w:tcPr>
            <w:tcW w:w="900" w:type="dxa"/>
            <w:tcBorders>
              <w:top w:val="single" w:sz="6" w:space="0" w:color="000000"/>
              <w:left w:val="single" w:sz="6" w:space="0" w:color="000000"/>
              <w:bottom w:val="single" w:sz="6" w:space="0" w:color="000000"/>
              <w:right w:val="single" w:sz="6" w:space="0" w:color="000000"/>
            </w:tcBorders>
            <w:shd w:val="solid" w:color="C0C0C0" w:fill="auto"/>
            <w:vAlign w:val="center"/>
          </w:tcPr>
          <w:p w14:paraId="7DE315C2" w14:textId="77777777" w:rsidR="00CB64F0" w:rsidRPr="005D6AC3" w:rsidRDefault="005D6AC3" w:rsidP="001C39FB">
            <w:pPr>
              <w:jc w:val="center"/>
              <w:rPr>
                <w:snapToGrid w:val="0"/>
                <w:sz w:val="20"/>
                <w:szCs w:val="20"/>
              </w:rPr>
            </w:pPr>
            <w:r w:rsidRPr="005D6AC3">
              <w:rPr>
                <w:snapToGrid w:val="0"/>
                <w:sz w:val="20"/>
                <w:szCs w:val="20"/>
              </w:rPr>
              <w:t xml:space="preserve">Lesson Median </w:t>
            </w:r>
            <w:r w:rsidR="00CB64F0" w:rsidRPr="005D6AC3">
              <w:rPr>
                <w:snapToGrid w:val="0"/>
                <w:sz w:val="20"/>
                <w:szCs w:val="20"/>
              </w:rPr>
              <w:t xml:space="preserve"> (minutes)</w:t>
            </w:r>
          </w:p>
        </w:tc>
        <w:tc>
          <w:tcPr>
            <w:tcW w:w="900" w:type="dxa"/>
            <w:tcBorders>
              <w:top w:val="single" w:sz="6" w:space="0" w:color="000000"/>
              <w:left w:val="single" w:sz="6" w:space="0" w:color="000000"/>
              <w:bottom w:val="single" w:sz="6" w:space="0" w:color="000000"/>
              <w:right w:val="single" w:sz="6" w:space="0" w:color="000000"/>
            </w:tcBorders>
            <w:shd w:val="solid" w:color="C0C0C0" w:fill="auto"/>
            <w:vAlign w:val="center"/>
          </w:tcPr>
          <w:p w14:paraId="0BC6BB66" w14:textId="77777777" w:rsidR="00CB64F0" w:rsidRPr="005D6AC3" w:rsidRDefault="005D6AC3" w:rsidP="001C39FB">
            <w:pPr>
              <w:jc w:val="center"/>
              <w:rPr>
                <w:snapToGrid w:val="0"/>
                <w:sz w:val="20"/>
                <w:szCs w:val="20"/>
              </w:rPr>
            </w:pPr>
            <w:r w:rsidRPr="005D6AC3">
              <w:rPr>
                <w:snapToGrid w:val="0"/>
                <w:sz w:val="20"/>
                <w:szCs w:val="20"/>
              </w:rPr>
              <w:t>Quiz Median</w:t>
            </w:r>
            <w:r w:rsidR="00CB64F0" w:rsidRPr="005D6AC3">
              <w:rPr>
                <w:snapToGrid w:val="0"/>
                <w:sz w:val="20"/>
                <w:szCs w:val="20"/>
              </w:rPr>
              <w:t xml:space="preserve"> (minutes)</w:t>
            </w:r>
          </w:p>
        </w:tc>
        <w:tc>
          <w:tcPr>
            <w:tcW w:w="810" w:type="dxa"/>
            <w:tcBorders>
              <w:top w:val="single" w:sz="6" w:space="0" w:color="000000"/>
              <w:left w:val="single" w:sz="6" w:space="0" w:color="000000"/>
              <w:bottom w:val="single" w:sz="6" w:space="0" w:color="000000"/>
              <w:right w:val="single" w:sz="6" w:space="0" w:color="000000"/>
            </w:tcBorders>
            <w:shd w:val="solid" w:color="C0C0C0" w:fill="auto"/>
            <w:vAlign w:val="center"/>
          </w:tcPr>
          <w:p w14:paraId="620FFEB6" w14:textId="77777777" w:rsidR="00CB64F0" w:rsidRPr="005D6AC3" w:rsidRDefault="005D6AC3" w:rsidP="001C39FB">
            <w:pPr>
              <w:jc w:val="center"/>
              <w:rPr>
                <w:snapToGrid w:val="0"/>
                <w:sz w:val="20"/>
                <w:szCs w:val="20"/>
              </w:rPr>
            </w:pPr>
            <w:r w:rsidRPr="005D6AC3">
              <w:rPr>
                <w:snapToGrid w:val="0"/>
                <w:sz w:val="20"/>
                <w:szCs w:val="20"/>
              </w:rPr>
              <w:t>Number Quizzes Taken</w:t>
            </w:r>
          </w:p>
        </w:tc>
        <w:tc>
          <w:tcPr>
            <w:tcW w:w="1022" w:type="dxa"/>
            <w:tcBorders>
              <w:top w:val="single" w:sz="6" w:space="0" w:color="000000"/>
              <w:left w:val="single" w:sz="6" w:space="0" w:color="000000"/>
              <w:bottom w:val="single" w:sz="6" w:space="0" w:color="000000"/>
              <w:right w:val="single" w:sz="6" w:space="0" w:color="000000"/>
            </w:tcBorders>
            <w:shd w:val="solid" w:color="C0C0C0" w:fill="auto"/>
            <w:vAlign w:val="center"/>
          </w:tcPr>
          <w:p w14:paraId="1AAB70F9" w14:textId="77777777" w:rsidR="00CB64F0" w:rsidRPr="005D6AC3" w:rsidRDefault="005D6AC3" w:rsidP="001C39FB">
            <w:pPr>
              <w:jc w:val="center"/>
              <w:rPr>
                <w:snapToGrid w:val="0"/>
                <w:sz w:val="20"/>
                <w:szCs w:val="20"/>
              </w:rPr>
            </w:pPr>
            <w:r w:rsidRPr="005D6AC3">
              <w:rPr>
                <w:snapToGrid w:val="0"/>
                <w:sz w:val="20"/>
                <w:szCs w:val="20"/>
              </w:rPr>
              <w:t>Number Modules</w:t>
            </w:r>
            <w:r w:rsidR="00CB64F0" w:rsidRPr="005D6AC3">
              <w:rPr>
                <w:snapToGrid w:val="0"/>
                <w:sz w:val="20"/>
                <w:szCs w:val="20"/>
              </w:rPr>
              <w:t xml:space="preserve"> / </w:t>
            </w:r>
            <w:r w:rsidRPr="005D6AC3">
              <w:rPr>
                <w:snapToGrid w:val="0"/>
                <w:sz w:val="20"/>
                <w:szCs w:val="20"/>
              </w:rPr>
              <w:t>Standard Deviation</w:t>
            </w:r>
          </w:p>
        </w:tc>
      </w:tr>
      <w:tr w:rsidR="005D6AC3" w:rsidRPr="00DB6EFC" w14:paraId="499F925B" w14:textId="77777777" w:rsidTr="001C39FB">
        <w:trPr>
          <w:trHeight w:val="300"/>
          <w:jc w:val="center"/>
        </w:trPr>
        <w:tc>
          <w:tcPr>
            <w:tcW w:w="622" w:type="dxa"/>
            <w:tcBorders>
              <w:top w:val="single" w:sz="6" w:space="0" w:color="C0C0C0"/>
              <w:left w:val="single" w:sz="6" w:space="0" w:color="C0C0C0"/>
              <w:bottom w:val="single" w:sz="6" w:space="0" w:color="C0C0C0"/>
              <w:right w:val="single" w:sz="6" w:space="0" w:color="C0C0C0"/>
            </w:tcBorders>
            <w:shd w:val="solid" w:color="FFFFFF" w:fill="auto"/>
            <w:vAlign w:val="center"/>
          </w:tcPr>
          <w:p w14:paraId="7DE74929" w14:textId="77777777" w:rsidR="00CB64F0" w:rsidRPr="00D40980" w:rsidRDefault="00CB64F0" w:rsidP="001C39FB">
            <w:pPr>
              <w:spacing w:after="0"/>
              <w:rPr>
                <w:snapToGrid w:val="0"/>
                <w:sz w:val="20"/>
                <w:szCs w:val="20"/>
              </w:rPr>
            </w:pPr>
            <w:r w:rsidRPr="00D40980">
              <w:rPr>
                <w:snapToGrid w:val="0"/>
                <w:sz w:val="20"/>
                <w:szCs w:val="20"/>
              </w:rPr>
              <w:t>Credit</w:t>
            </w:r>
          </w:p>
        </w:tc>
        <w:tc>
          <w:tcPr>
            <w:tcW w:w="450" w:type="dxa"/>
            <w:tcBorders>
              <w:top w:val="single" w:sz="6" w:space="0" w:color="C0C0C0"/>
              <w:left w:val="single" w:sz="6" w:space="0" w:color="C0C0C0"/>
              <w:bottom w:val="single" w:sz="6" w:space="0" w:color="C0C0C0"/>
              <w:right w:val="single" w:sz="6" w:space="0" w:color="C0C0C0"/>
            </w:tcBorders>
            <w:shd w:val="solid" w:color="FFFFFF" w:fill="auto"/>
            <w:vAlign w:val="center"/>
          </w:tcPr>
          <w:p w14:paraId="2CEEAF32" w14:textId="77777777" w:rsidR="00CB64F0" w:rsidRPr="00D40980" w:rsidRDefault="00CB64F0" w:rsidP="001C39FB">
            <w:pPr>
              <w:spacing w:after="0"/>
              <w:jc w:val="center"/>
              <w:rPr>
                <w:snapToGrid w:val="0"/>
                <w:sz w:val="20"/>
                <w:szCs w:val="20"/>
              </w:rPr>
            </w:pPr>
            <w:r w:rsidRPr="00D40980">
              <w:rPr>
                <w:snapToGrid w:val="0"/>
                <w:sz w:val="20"/>
                <w:szCs w:val="20"/>
              </w:rPr>
              <w:t>186</w:t>
            </w:r>
          </w:p>
        </w:tc>
        <w:tc>
          <w:tcPr>
            <w:tcW w:w="1080" w:type="dxa"/>
            <w:tcBorders>
              <w:top w:val="single" w:sz="6" w:space="0" w:color="C0C0C0"/>
              <w:left w:val="single" w:sz="6" w:space="0" w:color="C0C0C0"/>
              <w:bottom w:val="single" w:sz="6" w:space="0" w:color="C0C0C0"/>
              <w:right w:val="single" w:sz="6" w:space="0" w:color="C0C0C0"/>
            </w:tcBorders>
            <w:shd w:val="solid" w:color="FFFFFF" w:fill="auto"/>
            <w:vAlign w:val="center"/>
          </w:tcPr>
          <w:p w14:paraId="5BC3CA09" w14:textId="77777777" w:rsidR="00CB64F0" w:rsidRPr="00D40980" w:rsidRDefault="00CB64F0" w:rsidP="001C39FB">
            <w:pPr>
              <w:spacing w:after="0"/>
              <w:jc w:val="center"/>
              <w:rPr>
                <w:snapToGrid w:val="0"/>
                <w:sz w:val="20"/>
                <w:szCs w:val="20"/>
              </w:rPr>
            </w:pPr>
            <w:r w:rsidRPr="00D40980">
              <w:rPr>
                <w:snapToGrid w:val="0"/>
                <w:sz w:val="20"/>
                <w:szCs w:val="20"/>
              </w:rPr>
              <w:t>53.16 / 13.53</w:t>
            </w:r>
          </w:p>
        </w:tc>
        <w:tc>
          <w:tcPr>
            <w:tcW w:w="900" w:type="dxa"/>
            <w:tcBorders>
              <w:top w:val="single" w:sz="6" w:space="0" w:color="C0C0C0"/>
              <w:left w:val="single" w:sz="6" w:space="0" w:color="C0C0C0"/>
              <w:bottom w:val="single" w:sz="6" w:space="0" w:color="C0C0C0"/>
              <w:right w:val="single" w:sz="6" w:space="0" w:color="C0C0C0"/>
            </w:tcBorders>
            <w:shd w:val="solid" w:color="FFFFFF" w:fill="auto"/>
            <w:vAlign w:val="center"/>
          </w:tcPr>
          <w:p w14:paraId="012A8FF1" w14:textId="77777777" w:rsidR="00CB64F0" w:rsidRPr="00D40980" w:rsidRDefault="00CB64F0" w:rsidP="001C39FB">
            <w:pPr>
              <w:spacing w:after="0"/>
              <w:jc w:val="center"/>
              <w:rPr>
                <w:snapToGrid w:val="0"/>
                <w:sz w:val="20"/>
                <w:szCs w:val="20"/>
              </w:rPr>
            </w:pPr>
            <w:r w:rsidRPr="00D40980">
              <w:rPr>
                <w:snapToGrid w:val="0"/>
                <w:sz w:val="20"/>
                <w:szCs w:val="20"/>
              </w:rPr>
              <w:t>9.8</w:t>
            </w:r>
          </w:p>
        </w:tc>
        <w:tc>
          <w:tcPr>
            <w:tcW w:w="1048" w:type="dxa"/>
            <w:tcBorders>
              <w:top w:val="single" w:sz="6" w:space="0" w:color="C0C0C0"/>
              <w:left w:val="single" w:sz="6" w:space="0" w:color="C0C0C0"/>
              <w:bottom w:val="single" w:sz="6" w:space="0" w:color="C0C0C0"/>
              <w:right w:val="single" w:sz="6" w:space="0" w:color="C0C0C0"/>
            </w:tcBorders>
            <w:shd w:val="solid" w:color="FFFFFF" w:fill="auto"/>
            <w:vAlign w:val="center"/>
          </w:tcPr>
          <w:p w14:paraId="58E0CDC4" w14:textId="77777777" w:rsidR="00CB64F0" w:rsidRPr="00D40980" w:rsidRDefault="00CB64F0" w:rsidP="001C39FB">
            <w:pPr>
              <w:spacing w:after="0"/>
              <w:jc w:val="center"/>
              <w:rPr>
                <w:snapToGrid w:val="0"/>
                <w:sz w:val="20"/>
                <w:szCs w:val="20"/>
              </w:rPr>
            </w:pPr>
            <w:r w:rsidRPr="00D40980">
              <w:rPr>
                <w:snapToGrid w:val="0"/>
                <w:sz w:val="20"/>
                <w:szCs w:val="20"/>
              </w:rPr>
              <w:t>6.60</w:t>
            </w:r>
          </w:p>
        </w:tc>
        <w:tc>
          <w:tcPr>
            <w:tcW w:w="842" w:type="dxa"/>
            <w:tcBorders>
              <w:top w:val="single" w:sz="6" w:space="0" w:color="C0C0C0"/>
              <w:left w:val="single" w:sz="6" w:space="0" w:color="C0C0C0"/>
              <w:bottom w:val="single" w:sz="6" w:space="0" w:color="C0C0C0"/>
              <w:right w:val="single" w:sz="6" w:space="0" w:color="C0C0C0"/>
            </w:tcBorders>
            <w:shd w:val="solid" w:color="FFFFFF" w:fill="auto"/>
            <w:vAlign w:val="center"/>
          </w:tcPr>
          <w:p w14:paraId="4342C167" w14:textId="77777777" w:rsidR="00CB64F0" w:rsidRPr="00D40980" w:rsidRDefault="00CB64F0" w:rsidP="001C39FB">
            <w:pPr>
              <w:spacing w:after="0"/>
              <w:jc w:val="center"/>
              <w:rPr>
                <w:snapToGrid w:val="0"/>
                <w:sz w:val="20"/>
                <w:szCs w:val="20"/>
              </w:rPr>
            </w:pPr>
            <w:r w:rsidRPr="00D40980">
              <w:rPr>
                <w:snapToGrid w:val="0"/>
                <w:sz w:val="20"/>
                <w:szCs w:val="20"/>
              </w:rPr>
              <w:t>.11</w:t>
            </w:r>
          </w:p>
        </w:tc>
        <w:tc>
          <w:tcPr>
            <w:tcW w:w="900" w:type="dxa"/>
            <w:tcBorders>
              <w:top w:val="single" w:sz="6" w:space="0" w:color="C0C0C0"/>
              <w:left w:val="single" w:sz="6" w:space="0" w:color="C0C0C0"/>
              <w:bottom w:val="single" w:sz="6" w:space="0" w:color="C0C0C0"/>
              <w:right w:val="single" w:sz="6" w:space="0" w:color="C0C0C0"/>
            </w:tcBorders>
            <w:shd w:val="solid" w:color="FFFFFF" w:fill="auto"/>
            <w:vAlign w:val="center"/>
          </w:tcPr>
          <w:p w14:paraId="7302729E" w14:textId="77777777" w:rsidR="00CB64F0" w:rsidRPr="00D40980" w:rsidRDefault="00CB64F0" w:rsidP="001C39FB">
            <w:pPr>
              <w:spacing w:after="0"/>
              <w:jc w:val="center"/>
              <w:rPr>
                <w:snapToGrid w:val="0"/>
                <w:sz w:val="20"/>
                <w:szCs w:val="20"/>
              </w:rPr>
            </w:pPr>
            <w:r w:rsidRPr="00D40980">
              <w:rPr>
                <w:snapToGrid w:val="0"/>
                <w:sz w:val="20"/>
                <w:szCs w:val="20"/>
              </w:rPr>
              <w:t>15.88</w:t>
            </w:r>
          </w:p>
        </w:tc>
        <w:tc>
          <w:tcPr>
            <w:tcW w:w="900" w:type="dxa"/>
            <w:tcBorders>
              <w:top w:val="single" w:sz="6" w:space="0" w:color="C0C0C0"/>
              <w:left w:val="single" w:sz="6" w:space="0" w:color="C0C0C0"/>
              <w:bottom w:val="single" w:sz="6" w:space="0" w:color="C0C0C0"/>
              <w:right w:val="single" w:sz="6" w:space="0" w:color="C0C0C0"/>
            </w:tcBorders>
            <w:shd w:val="solid" w:color="FFFFFF" w:fill="auto"/>
            <w:vAlign w:val="center"/>
          </w:tcPr>
          <w:p w14:paraId="3FF40E4F" w14:textId="77777777" w:rsidR="00CB64F0" w:rsidRPr="00D40980" w:rsidRDefault="00CB64F0" w:rsidP="001C39FB">
            <w:pPr>
              <w:spacing w:after="0"/>
              <w:jc w:val="center"/>
              <w:rPr>
                <w:snapToGrid w:val="0"/>
                <w:sz w:val="20"/>
                <w:szCs w:val="20"/>
              </w:rPr>
            </w:pPr>
            <w:r w:rsidRPr="00D40980">
              <w:rPr>
                <w:snapToGrid w:val="0"/>
                <w:sz w:val="20"/>
                <w:szCs w:val="20"/>
              </w:rPr>
              <w:t>15.43</w:t>
            </w:r>
          </w:p>
        </w:tc>
        <w:tc>
          <w:tcPr>
            <w:tcW w:w="810" w:type="dxa"/>
            <w:tcBorders>
              <w:top w:val="single" w:sz="6" w:space="0" w:color="C0C0C0"/>
              <w:left w:val="single" w:sz="6" w:space="0" w:color="C0C0C0"/>
              <w:bottom w:val="single" w:sz="6" w:space="0" w:color="C0C0C0"/>
              <w:right w:val="single" w:sz="6" w:space="0" w:color="C0C0C0"/>
            </w:tcBorders>
            <w:shd w:val="solid" w:color="FFFFFF" w:fill="auto"/>
            <w:vAlign w:val="center"/>
          </w:tcPr>
          <w:p w14:paraId="10D5D0BB" w14:textId="77777777" w:rsidR="00CB64F0" w:rsidRPr="00D40980" w:rsidRDefault="00CB64F0" w:rsidP="001C39FB">
            <w:pPr>
              <w:spacing w:after="0"/>
              <w:jc w:val="center"/>
              <w:rPr>
                <w:snapToGrid w:val="0"/>
                <w:sz w:val="20"/>
                <w:szCs w:val="20"/>
              </w:rPr>
            </w:pPr>
            <w:r w:rsidRPr="00D40980">
              <w:rPr>
                <w:snapToGrid w:val="0"/>
                <w:sz w:val="20"/>
                <w:szCs w:val="20"/>
              </w:rPr>
              <w:t>27.31</w:t>
            </w:r>
          </w:p>
        </w:tc>
        <w:tc>
          <w:tcPr>
            <w:tcW w:w="1022" w:type="dxa"/>
            <w:tcBorders>
              <w:top w:val="single" w:sz="6" w:space="0" w:color="C0C0C0"/>
              <w:left w:val="single" w:sz="6" w:space="0" w:color="C0C0C0"/>
              <w:bottom w:val="single" w:sz="6" w:space="0" w:color="C0C0C0"/>
              <w:right w:val="single" w:sz="6" w:space="0" w:color="C0C0C0"/>
            </w:tcBorders>
            <w:shd w:val="solid" w:color="FFFFFF" w:fill="auto"/>
            <w:vAlign w:val="center"/>
          </w:tcPr>
          <w:p w14:paraId="75B55C37" w14:textId="77777777" w:rsidR="00CB64F0" w:rsidRPr="00D40980" w:rsidRDefault="00CB64F0" w:rsidP="001C39FB">
            <w:pPr>
              <w:spacing w:after="0"/>
              <w:jc w:val="center"/>
              <w:rPr>
                <w:snapToGrid w:val="0"/>
                <w:sz w:val="20"/>
                <w:szCs w:val="20"/>
              </w:rPr>
            </w:pPr>
            <w:r w:rsidRPr="00D40980">
              <w:rPr>
                <w:snapToGrid w:val="0"/>
                <w:sz w:val="20"/>
                <w:szCs w:val="20"/>
              </w:rPr>
              <w:t>8.25 / 7.84</w:t>
            </w:r>
          </w:p>
        </w:tc>
      </w:tr>
      <w:tr w:rsidR="005D6AC3" w:rsidRPr="00DB6EFC" w14:paraId="2EE4538D" w14:textId="77777777" w:rsidTr="001C39FB">
        <w:trPr>
          <w:trHeight w:val="300"/>
          <w:jc w:val="center"/>
        </w:trPr>
        <w:tc>
          <w:tcPr>
            <w:tcW w:w="622" w:type="dxa"/>
            <w:tcBorders>
              <w:top w:val="single" w:sz="6" w:space="0" w:color="C0C0C0"/>
              <w:left w:val="single" w:sz="6" w:space="0" w:color="C0C0C0"/>
              <w:bottom w:val="single" w:sz="6" w:space="0" w:color="C0C0C0"/>
              <w:right w:val="single" w:sz="6" w:space="0" w:color="C0C0C0"/>
            </w:tcBorders>
            <w:shd w:val="solid" w:color="FFFFFF" w:fill="auto"/>
            <w:vAlign w:val="center"/>
          </w:tcPr>
          <w:p w14:paraId="09BE87F3" w14:textId="77777777" w:rsidR="00CB64F0" w:rsidRPr="00D40980" w:rsidRDefault="00CB64F0" w:rsidP="001C39FB">
            <w:pPr>
              <w:spacing w:after="0"/>
              <w:rPr>
                <w:snapToGrid w:val="0"/>
                <w:sz w:val="20"/>
                <w:szCs w:val="20"/>
              </w:rPr>
            </w:pPr>
            <w:r w:rsidRPr="00D40980">
              <w:rPr>
                <w:snapToGrid w:val="0"/>
                <w:sz w:val="20"/>
                <w:szCs w:val="20"/>
              </w:rPr>
              <w:t>Non-credit</w:t>
            </w:r>
          </w:p>
        </w:tc>
        <w:tc>
          <w:tcPr>
            <w:tcW w:w="450" w:type="dxa"/>
            <w:tcBorders>
              <w:top w:val="single" w:sz="6" w:space="0" w:color="C0C0C0"/>
              <w:left w:val="single" w:sz="6" w:space="0" w:color="C0C0C0"/>
              <w:bottom w:val="single" w:sz="6" w:space="0" w:color="C0C0C0"/>
              <w:right w:val="single" w:sz="6" w:space="0" w:color="C0C0C0"/>
            </w:tcBorders>
            <w:shd w:val="solid" w:color="FFFFFF" w:fill="auto"/>
            <w:vAlign w:val="center"/>
          </w:tcPr>
          <w:p w14:paraId="6D72356A" w14:textId="77777777" w:rsidR="00CB64F0" w:rsidRPr="00D40980" w:rsidRDefault="00CB64F0" w:rsidP="001C39FB">
            <w:pPr>
              <w:spacing w:after="0"/>
              <w:jc w:val="center"/>
              <w:rPr>
                <w:snapToGrid w:val="0"/>
                <w:sz w:val="20"/>
                <w:szCs w:val="20"/>
              </w:rPr>
            </w:pPr>
            <w:r w:rsidRPr="00D40980">
              <w:rPr>
                <w:snapToGrid w:val="0"/>
                <w:sz w:val="20"/>
                <w:szCs w:val="20"/>
              </w:rPr>
              <w:t>332</w:t>
            </w:r>
          </w:p>
        </w:tc>
        <w:tc>
          <w:tcPr>
            <w:tcW w:w="1080" w:type="dxa"/>
            <w:tcBorders>
              <w:top w:val="single" w:sz="6" w:space="0" w:color="C0C0C0"/>
              <w:left w:val="single" w:sz="6" w:space="0" w:color="C0C0C0"/>
              <w:bottom w:val="single" w:sz="6" w:space="0" w:color="C0C0C0"/>
              <w:right w:val="single" w:sz="6" w:space="0" w:color="C0C0C0"/>
            </w:tcBorders>
            <w:shd w:val="solid" w:color="FFFFFF" w:fill="auto"/>
            <w:vAlign w:val="center"/>
          </w:tcPr>
          <w:p w14:paraId="51780FEE" w14:textId="77777777" w:rsidR="00CB64F0" w:rsidRPr="00D40980" w:rsidRDefault="00CB64F0" w:rsidP="001C39FB">
            <w:pPr>
              <w:spacing w:after="0"/>
              <w:jc w:val="center"/>
              <w:rPr>
                <w:snapToGrid w:val="0"/>
                <w:sz w:val="20"/>
                <w:szCs w:val="20"/>
              </w:rPr>
            </w:pPr>
            <w:r w:rsidRPr="00D40980">
              <w:rPr>
                <w:snapToGrid w:val="0"/>
                <w:sz w:val="20"/>
                <w:szCs w:val="20"/>
              </w:rPr>
              <w:t>44.31 / 10.69</w:t>
            </w:r>
          </w:p>
        </w:tc>
        <w:tc>
          <w:tcPr>
            <w:tcW w:w="900" w:type="dxa"/>
            <w:tcBorders>
              <w:top w:val="single" w:sz="6" w:space="0" w:color="C0C0C0"/>
              <w:left w:val="single" w:sz="6" w:space="0" w:color="C0C0C0"/>
              <w:bottom w:val="single" w:sz="6" w:space="0" w:color="C0C0C0"/>
              <w:right w:val="single" w:sz="6" w:space="0" w:color="C0C0C0"/>
            </w:tcBorders>
            <w:shd w:val="solid" w:color="FFFFFF" w:fill="auto"/>
            <w:vAlign w:val="center"/>
          </w:tcPr>
          <w:p w14:paraId="0607F103" w14:textId="77777777" w:rsidR="00CB64F0" w:rsidRPr="00D40980" w:rsidRDefault="00CB64F0" w:rsidP="001C39FB">
            <w:pPr>
              <w:spacing w:after="0"/>
              <w:jc w:val="center"/>
              <w:rPr>
                <w:snapToGrid w:val="0"/>
                <w:sz w:val="20"/>
                <w:szCs w:val="20"/>
              </w:rPr>
            </w:pPr>
            <w:r w:rsidRPr="00D40980">
              <w:rPr>
                <w:snapToGrid w:val="0"/>
                <w:sz w:val="20"/>
                <w:szCs w:val="20"/>
              </w:rPr>
              <w:t>18.93</w:t>
            </w:r>
          </w:p>
        </w:tc>
        <w:tc>
          <w:tcPr>
            <w:tcW w:w="1048" w:type="dxa"/>
            <w:tcBorders>
              <w:top w:val="single" w:sz="6" w:space="0" w:color="C0C0C0"/>
              <w:left w:val="single" w:sz="6" w:space="0" w:color="C0C0C0"/>
              <w:bottom w:val="single" w:sz="6" w:space="0" w:color="C0C0C0"/>
              <w:right w:val="single" w:sz="6" w:space="0" w:color="C0C0C0"/>
            </w:tcBorders>
            <w:shd w:val="solid" w:color="FFFFFF" w:fill="auto"/>
            <w:vAlign w:val="center"/>
          </w:tcPr>
          <w:p w14:paraId="79B5A181" w14:textId="77777777" w:rsidR="00CB64F0" w:rsidRPr="00D40980" w:rsidRDefault="00CB64F0" w:rsidP="001C39FB">
            <w:pPr>
              <w:spacing w:after="0"/>
              <w:jc w:val="center"/>
              <w:rPr>
                <w:snapToGrid w:val="0"/>
                <w:sz w:val="20"/>
                <w:szCs w:val="20"/>
              </w:rPr>
            </w:pPr>
            <w:r w:rsidRPr="00D40980">
              <w:rPr>
                <w:snapToGrid w:val="0"/>
                <w:sz w:val="20"/>
                <w:szCs w:val="20"/>
              </w:rPr>
              <w:t>8.37</w:t>
            </w:r>
          </w:p>
        </w:tc>
        <w:tc>
          <w:tcPr>
            <w:tcW w:w="842" w:type="dxa"/>
            <w:tcBorders>
              <w:top w:val="single" w:sz="6" w:space="0" w:color="C0C0C0"/>
              <w:left w:val="single" w:sz="6" w:space="0" w:color="C0C0C0"/>
              <w:bottom w:val="single" w:sz="6" w:space="0" w:color="C0C0C0"/>
              <w:right w:val="single" w:sz="6" w:space="0" w:color="C0C0C0"/>
            </w:tcBorders>
            <w:shd w:val="solid" w:color="FFFFFF" w:fill="auto"/>
            <w:vAlign w:val="center"/>
          </w:tcPr>
          <w:p w14:paraId="4801D284" w14:textId="77777777" w:rsidR="00CB64F0" w:rsidRPr="00D40980" w:rsidRDefault="00CB64F0" w:rsidP="001C39FB">
            <w:pPr>
              <w:spacing w:after="0"/>
              <w:jc w:val="center"/>
              <w:rPr>
                <w:snapToGrid w:val="0"/>
                <w:sz w:val="20"/>
                <w:szCs w:val="20"/>
              </w:rPr>
            </w:pPr>
            <w:r w:rsidRPr="00D40980">
              <w:rPr>
                <w:snapToGrid w:val="0"/>
                <w:sz w:val="20"/>
                <w:szCs w:val="20"/>
              </w:rPr>
              <w:t>.13</w:t>
            </w:r>
          </w:p>
        </w:tc>
        <w:tc>
          <w:tcPr>
            <w:tcW w:w="900" w:type="dxa"/>
            <w:tcBorders>
              <w:top w:val="single" w:sz="6" w:space="0" w:color="C0C0C0"/>
              <w:left w:val="single" w:sz="6" w:space="0" w:color="C0C0C0"/>
              <w:bottom w:val="single" w:sz="6" w:space="0" w:color="C0C0C0"/>
              <w:right w:val="single" w:sz="6" w:space="0" w:color="C0C0C0"/>
            </w:tcBorders>
            <w:shd w:val="solid" w:color="FFFFFF" w:fill="auto"/>
            <w:vAlign w:val="center"/>
          </w:tcPr>
          <w:p w14:paraId="08F5E726" w14:textId="77777777" w:rsidR="00CB64F0" w:rsidRPr="00D40980" w:rsidRDefault="00CB64F0" w:rsidP="001C39FB">
            <w:pPr>
              <w:spacing w:after="0"/>
              <w:jc w:val="center"/>
              <w:rPr>
                <w:snapToGrid w:val="0"/>
                <w:sz w:val="20"/>
                <w:szCs w:val="20"/>
              </w:rPr>
            </w:pPr>
            <w:r w:rsidRPr="00D40980">
              <w:rPr>
                <w:snapToGrid w:val="0"/>
                <w:sz w:val="20"/>
                <w:szCs w:val="20"/>
              </w:rPr>
              <w:t>11.38</w:t>
            </w:r>
          </w:p>
        </w:tc>
        <w:tc>
          <w:tcPr>
            <w:tcW w:w="900" w:type="dxa"/>
            <w:tcBorders>
              <w:top w:val="single" w:sz="6" w:space="0" w:color="C0C0C0"/>
              <w:left w:val="single" w:sz="6" w:space="0" w:color="C0C0C0"/>
              <w:bottom w:val="single" w:sz="6" w:space="0" w:color="C0C0C0"/>
              <w:right w:val="single" w:sz="6" w:space="0" w:color="C0C0C0"/>
            </w:tcBorders>
            <w:shd w:val="solid" w:color="FFFFFF" w:fill="auto"/>
            <w:vAlign w:val="center"/>
          </w:tcPr>
          <w:p w14:paraId="5CB1646F" w14:textId="77777777" w:rsidR="00CB64F0" w:rsidRPr="00D40980" w:rsidRDefault="00CB64F0" w:rsidP="001C39FB">
            <w:pPr>
              <w:spacing w:after="0"/>
              <w:jc w:val="center"/>
              <w:rPr>
                <w:snapToGrid w:val="0"/>
                <w:sz w:val="20"/>
                <w:szCs w:val="20"/>
              </w:rPr>
            </w:pPr>
            <w:r w:rsidRPr="00D40980">
              <w:rPr>
                <w:snapToGrid w:val="0"/>
                <w:sz w:val="20"/>
                <w:szCs w:val="20"/>
              </w:rPr>
              <w:t>13.88</w:t>
            </w:r>
          </w:p>
        </w:tc>
        <w:tc>
          <w:tcPr>
            <w:tcW w:w="810" w:type="dxa"/>
            <w:tcBorders>
              <w:top w:val="single" w:sz="6" w:space="0" w:color="C0C0C0"/>
              <w:left w:val="single" w:sz="6" w:space="0" w:color="C0C0C0"/>
              <w:bottom w:val="single" w:sz="6" w:space="0" w:color="C0C0C0"/>
              <w:right w:val="single" w:sz="6" w:space="0" w:color="C0C0C0"/>
            </w:tcBorders>
            <w:shd w:val="solid" w:color="FFFFFF" w:fill="auto"/>
            <w:vAlign w:val="center"/>
          </w:tcPr>
          <w:p w14:paraId="1C66E90B" w14:textId="77777777" w:rsidR="00CB64F0" w:rsidRPr="00D40980" w:rsidRDefault="00CB64F0" w:rsidP="001C39FB">
            <w:pPr>
              <w:spacing w:after="0"/>
              <w:jc w:val="center"/>
              <w:rPr>
                <w:snapToGrid w:val="0"/>
                <w:sz w:val="20"/>
                <w:szCs w:val="20"/>
              </w:rPr>
            </w:pPr>
            <w:r w:rsidRPr="00D40980">
              <w:rPr>
                <w:snapToGrid w:val="0"/>
                <w:sz w:val="20"/>
                <w:szCs w:val="20"/>
              </w:rPr>
              <w:t>9.49</w:t>
            </w:r>
          </w:p>
        </w:tc>
        <w:tc>
          <w:tcPr>
            <w:tcW w:w="1022" w:type="dxa"/>
            <w:tcBorders>
              <w:top w:val="single" w:sz="6" w:space="0" w:color="C0C0C0"/>
              <w:left w:val="single" w:sz="6" w:space="0" w:color="C0C0C0"/>
              <w:bottom w:val="single" w:sz="6" w:space="0" w:color="C0C0C0"/>
              <w:right w:val="single" w:sz="6" w:space="0" w:color="C0C0C0"/>
            </w:tcBorders>
            <w:shd w:val="solid" w:color="FFFFFF" w:fill="auto"/>
            <w:vAlign w:val="center"/>
          </w:tcPr>
          <w:p w14:paraId="330701FF" w14:textId="77777777" w:rsidR="00CB64F0" w:rsidRPr="00D40980" w:rsidRDefault="00CB64F0" w:rsidP="001C39FB">
            <w:pPr>
              <w:spacing w:after="0"/>
              <w:jc w:val="center"/>
              <w:rPr>
                <w:snapToGrid w:val="0"/>
                <w:sz w:val="20"/>
                <w:szCs w:val="20"/>
              </w:rPr>
            </w:pPr>
            <w:r w:rsidRPr="00D40980">
              <w:rPr>
                <w:snapToGrid w:val="0"/>
                <w:sz w:val="20"/>
                <w:szCs w:val="20"/>
              </w:rPr>
              <w:t>3.54 / 4.55</w:t>
            </w:r>
          </w:p>
        </w:tc>
      </w:tr>
    </w:tbl>
    <w:p w14:paraId="08661FBE" w14:textId="77777777" w:rsidR="00C73251" w:rsidRDefault="00C73251" w:rsidP="00C73251">
      <w:pPr>
        <w:spacing w:after="0"/>
        <w:rPr>
          <w:b/>
          <w:szCs w:val="22"/>
        </w:rPr>
      </w:pPr>
    </w:p>
    <w:p w14:paraId="50DC757E" w14:textId="77777777" w:rsidR="00FE59AD" w:rsidRDefault="00FE59AD" w:rsidP="001072B1">
      <w:r w:rsidRPr="004C3C75">
        <w:t>In comparing credit versus noncredit users’ overall statistics</w:t>
      </w:r>
      <w:r>
        <w:t>,</w:t>
      </w:r>
      <w:r w:rsidRPr="004C3C75">
        <w:t xml:space="preserve"> we find that credit students scored hig</w:t>
      </w:r>
      <w:r w:rsidRPr="004C3C75">
        <w:t>h</w:t>
      </w:r>
      <w:r w:rsidRPr="004C3C75">
        <w:t xml:space="preserve">er on quizzes (53%) than noncredit (44%), took quizzes more times (27 versus 9), and spent more time on lessons (15.88 min versus 11.38 min) and quizzes (15.43 </w:t>
      </w:r>
      <w:r w:rsidR="00916DD6">
        <w:t>min</w:t>
      </w:r>
      <w:r w:rsidR="00EE373D">
        <w:t xml:space="preserve"> </w:t>
      </w:r>
      <w:r w:rsidRPr="004C3C75">
        <w:t>versus 13.88 min).  However, noncredit spent much longer in a session (18.93 min) and more time in an animation (8.37 min).  Neither group significantly used the glossary (only 0.1 min).  To clarify, in general a session median length is 9.8 minutes for a credit learner.  During this 9.8</w:t>
      </w:r>
      <w:r>
        <w:t>-</w:t>
      </w:r>
      <w:r w:rsidRPr="004C3C75">
        <w:t xml:space="preserve">minute period of time, a user may access an animation, a glossary word, read a lesson, </w:t>
      </w:r>
      <w:r w:rsidR="00DE698C" w:rsidRPr="004C3C75">
        <w:t>and take</w:t>
      </w:r>
      <w:r w:rsidRPr="004C3C75">
        <w:t xml:space="preserve"> a quiz or any combinations of these tasks.  When the user is working on an intensive task, such as reading a lesson, their session length would be more than 9.8 minutes.  However, there are also sessions when the user </w:t>
      </w:r>
      <w:r>
        <w:t>either did not visit any lesson or was</w:t>
      </w:r>
      <w:r w:rsidRPr="004C3C75">
        <w:t xml:space="preserve"> simply browsing the lesson where their session time will be much shorter, which is </w:t>
      </w:r>
      <w:r>
        <w:t xml:space="preserve">all </w:t>
      </w:r>
      <w:r w:rsidRPr="004C3C75">
        <w:t>reflected in the median session length of 9.8 minutes.  Therefore, median times reported for each task represent the general time a user spends on that task in a single session.</w:t>
      </w:r>
    </w:p>
    <w:p w14:paraId="349448D4" w14:textId="77777777" w:rsidR="00FE59AD" w:rsidRDefault="00FE59AD" w:rsidP="00795B56">
      <w:pPr>
        <w:rPr>
          <w:szCs w:val="22"/>
        </w:rPr>
      </w:pPr>
      <w:r>
        <w:rPr>
          <w:szCs w:val="22"/>
        </w:rPr>
        <w:t>To better understand what might be leading to higher quiz scores (or not), cluster analysis on the credit and noncredit users was conducted in order to identify high and low scorers.</w:t>
      </w:r>
    </w:p>
    <w:p w14:paraId="37BAAFA1" w14:textId="77777777" w:rsidR="00BD1724" w:rsidRDefault="00BD1724" w:rsidP="00BD1724">
      <w:pPr>
        <w:pStyle w:val="Heading2"/>
      </w:pPr>
      <w:r>
        <w:t>Cluster Analysis for Credit Learners</w:t>
      </w:r>
    </w:p>
    <w:p w14:paraId="0FF07953" w14:textId="5B9FD595" w:rsidR="00FE59AD" w:rsidRDefault="00FE59AD" w:rsidP="001C39FB">
      <w:pPr>
        <w:rPr>
          <w:szCs w:val="22"/>
        </w:rPr>
      </w:pPr>
      <w:r w:rsidRPr="002F3D7A">
        <w:rPr>
          <w:szCs w:val="22"/>
        </w:rPr>
        <w:t xml:space="preserve">Figure </w:t>
      </w:r>
      <w:r>
        <w:rPr>
          <w:szCs w:val="22"/>
        </w:rPr>
        <w:t>3</w:t>
      </w:r>
      <w:r w:rsidRPr="002F3D7A">
        <w:rPr>
          <w:szCs w:val="22"/>
        </w:rPr>
        <w:t xml:space="preserve"> presents graphical results of the cluster analysis for credit learners which identifies </w:t>
      </w:r>
      <w:r>
        <w:rPr>
          <w:szCs w:val="22"/>
        </w:rPr>
        <w:t>C</w:t>
      </w:r>
      <w:r w:rsidRPr="002F3D7A">
        <w:rPr>
          <w:szCs w:val="22"/>
        </w:rPr>
        <w:t xml:space="preserve">luster </w:t>
      </w:r>
      <w:r>
        <w:rPr>
          <w:szCs w:val="22"/>
        </w:rPr>
        <w:t>#1</w:t>
      </w:r>
      <w:r w:rsidRPr="002F3D7A">
        <w:rPr>
          <w:szCs w:val="22"/>
        </w:rPr>
        <w:t xml:space="preserve"> as being the high </w:t>
      </w:r>
      <w:r>
        <w:rPr>
          <w:szCs w:val="22"/>
        </w:rPr>
        <w:t>quiz scorers</w:t>
      </w:r>
      <w:r w:rsidRPr="002F3D7A">
        <w:rPr>
          <w:szCs w:val="22"/>
        </w:rPr>
        <w:t xml:space="preserve"> and </w:t>
      </w:r>
      <w:r>
        <w:rPr>
          <w:szCs w:val="22"/>
        </w:rPr>
        <w:t>C</w:t>
      </w:r>
      <w:r w:rsidRPr="002F3D7A">
        <w:rPr>
          <w:szCs w:val="22"/>
        </w:rPr>
        <w:t xml:space="preserve">luster </w:t>
      </w:r>
      <w:r>
        <w:rPr>
          <w:szCs w:val="22"/>
        </w:rPr>
        <w:t>#4</w:t>
      </w:r>
      <w:r w:rsidRPr="002F3D7A">
        <w:rPr>
          <w:szCs w:val="22"/>
        </w:rPr>
        <w:t xml:space="preserve"> as th</w:t>
      </w:r>
      <w:r>
        <w:rPr>
          <w:szCs w:val="22"/>
        </w:rPr>
        <w:t xml:space="preserve">ose scoring </w:t>
      </w:r>
      <w:r w:rsidRPr="002F3D7A">
        <w:rPr>
          <w:szCs w:val="22"/>
        </w:rPr>
        <w:t xml:space="preserve">low </w:t>
      </w:r>
      <w:r>
        <w:rPr>
          <w:szCs w:val="22"/>
        </w:rPr>
        <w:t>on quizzes, also taking into account two other variables (number of quizzes taken and the standard deviation of scores)</w:t>
      </w:r>
      <w:r w:rsidRPr="002F3D7A">
        <w:rPr>
          <w:szCs w:val="22"/>
        </w:rPr>
        <w:t>.</w:t>
      </w:r>
      <w:r>
        <w:rPr>
          <w:szCs w:val="22"/>
        </w:rPr>
        <w:t xml:space="preserve">  In deciding between clusters with similar average quiz scores, we focused on the one with a lower stan</w:t>
      </w:r>
      <w:r>
        <w:rPr>
          <w:szCs w:val="22"/>
        </w:rPr>
        <w:t>d</w:t>
      </w:r>
      <w:r>
        <w:rPr>
          <w:szCs w:val="22"/>
        </w:rPr>
        <w:t>ard deviation (suggesting less variation in scores) and lower numbers of quizzes taken (suggesting few repeats of quizzes).  As an example, Cluster #4 was clearly the lowest scoring group, so we chose a high scoring cluster with comparable numbers for standard deviation and number of quizzes. N</w:t>
      </w:r>
      <w:r>
        <w:rPr>
          <w:szCs w:val="22"/>
        </w:rPr>
        <w:t>o</w:t>
      </w:r>
      <w:r>
        <w:rPr>
          <w:szCs w:val="22"/>
        </w:rPr>
        <w:t xml:space="preserve">tice that the standard deviation of Cluster #1 is low, which shows each quiz taken by users in this group was high scoring compared with Cluster #6 where the average scores were high, but the </w:t>
      </w:r>
      <w:r>
        <w:rPr>
          <w:szCs w:val="22"/>
        </w:rPr>
        <w:lastRenderedPageBreak/>
        <w:t>standard deviations are higher.  Clusters #8,</w:t>
      </w:r>
      <w:r w:rsidR="001072B1">
        <w:rPr>
          <w:szCs w:val="22"/>
        </w:rPr>
        <w:t xml:space="preserve"> </w:t>
      </w:r>
      <w:r>
        <w:rPr>
          <w:szCs w:val="22"/>
        </w:rPr>
        <w:t>#</w:t>
      </w:r>
      <w:r w:rsidR="001072B1">
        <w:rPr>
          <w:szCs w:val="22"/>
        </w:rPr>
        <w:t>7, #</w:t>
      </w:r>
      <w:r>
        <w:rPr>
          <w:szCs w:val="22"/>
        </w:rPr>
        <w:t xml:space="preserve">3, #5, and #2 all have similar average quiz scores, but they separate into different clusters because of differences in standard deviation (#3 </w:t>
      </w:r>
      <w:r w:rsidR="001072B1">
        <w:rPr>
          <w:szCs w:val="22"/>
        </w:rPr>
        <w:t>is</w:t>
      </w:r>
      <w:r>
        <w:rPr>
          <w:szCs w:val="22"/>
        </w:rPr>
        <w:t xml:space="preserve"> lower compared with #5).  Similarly, Cluster #8 users took fewer number of quizzes compared with Clu</w:t>
      </w:r>
      <w:r>
        <w:rPr>
          <w:szCs w:val="22"/>
        </w:rPr>
        <w:t>s</w:t>
      </w:r>
      <w:r>
        <w:rPr>
          <w:szCs w:val="22"/>
        </w:rPr>
        <w:t xml:space="preserve">ter #2.  The average score value in each cluster is calculated by averaging the average quiz </w:t>
      </w:r>
      <w:r w:rsidR="00BC1FE8">
        <w:rPr>
          <w:szCs w:val="22"/>
        </w:rPr>
        <w:t>percentage</w:t>
      </w:r>
      <w:r>
        <w:rPr>
          <w:szCs w:val="22"/>
        </w:rPr>
        <w:t xml:space="preserve"> score earned by individuals in that cluster.  The standard deviation in each cluster is then the devi</w:t>
      </w:r>
      <w:r>
        <w:rPr>
          <w:szCs w:val="22"/>
        </w:rPr>
        <w:t>a</w:t>
      </w:r>
      <w:r>
        <w:rPr>
          <w:szCs w:val="22"/>
        </w:rPr>
        <w:t xml:space="preserve">tion of those averages among the cluster.  The size of each bubble varies by the number of unique quizzes an individual person took. </w:t>
      </w:r>
    </w:p>
    <w:p w14:paraId="176B23B8" w14:textId="77777777" w:rsidR="00943003" w:rsidRDefault="00C73251" w:rsidP="001B0CE1">
      <w:pPr>
        <w:spacing w:after="0"/>
        <w:ind w:left="630" w:hanging="630"/>
        <w:jc w:val="center"/>
        <w:rPr>
          <w:szCs w:val="22"/>
        </w:rPr>
      </w:pPr>
      <w:r w:rsidRPr="0029651A">
        <w:rPr>
          <w:rFonts w:ascii="Calibri" w:hAnsi="Calibri"/>
          <w:noProof/>
        </w:rPr>
        <w:drawing>
          <wp:inline distT="0" distB="0" distL="0" distR="0" wp14:anchorId="58D68989" wp14:editId="09BDB834">
            <wp:extent cx="4621746" cy="2194560"/>
            <wp:effectExtent l="0" t="0" r="7620" b="0"/>
            <wp:docPr id="3" name="Picture 3" descr="cid:image001.png@01D38B86.4E53F5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38B86.4E53F540"/>
                    <pic:cNvPicPr>
                      <a:picLocks noChangeAspect="1" noChangeArrowheads="1"/>
                    </pic:cNvPicPr>
                  </pic:nvPicPr>
                  <pic:blipFill rotWithShape="1">
                    <a:blip r:embed="rId17" r:link="rId18" cstate="print">
                      <a:extLst>
                        <a:ext uri="{28A0092B-C50C-407E-A947-70E740481C1C}">
                          <a14:useLocalDpi xmlns:a14="http://schemas.microsoft.com/office/drawing/2010/main" val="0"/>
                        </a:ext>
                      </a:extLst>
                    </a:blip>
                    <a:srcRect t="16335" b="5857"/>
                    <a:stretch/>
                  </pic:blipFill>
                  <pic:spPr bwMode="auto">
                    <a:xfrm>
                      <a:off x="0" y="0"/>
                      <a:ext cx="4621746" cy="2194560"/>
                    </a:xfrm>
                    <a:prstGeom prst="rect">
                      <a:avLst/>
                    </a:prstGeom>
                    <a:noFill/>
                    <a:ln>
                      <a:noFill/>
                    </a:ln>
                    <a:extLst>
                      <a:ext uri="{53640926-AAD7-44D8-BBD7-CCE9431645EC}">
                        <a14:shadowObscured xmlns:a14="http://schemas.microsoft.com/office/drawing/2010/main"/>
                      </a:ext>
                    </a:extLst>
                  </pic:spPr>
                </pic:pic>
              </a:graphicData>
            </a:graphic>
          </wp:inline>
        </w:drawing>
      </w:r>
    </w:p>
    <w:p w14:paraId="04461706" w14:textId="278D14CB" w:rsidR="00FA575E" w:rsidRPr="001C39FB" w:rsidRDefault="00943003" w:rsidP="001B0CE1">
      <w:pPr>
        <w:jc w:val="center"/>
        <w:rPr>
          <w:szCs w:val="22"/>
        </w:rPr>
      </w:pPr>
      <w:r>
        <w:rPr>
          <w:b/>
          <w:szCs w:val="22"/>
        </w:rPr>
        <w:t>Figure 3. Cluster analysis of credit learners identifying high scorers (</w:t>
      </w:r>
      <w:r w:rsidR="00BC1FE8">
        <w:rPr>
          <w:b/>
          <w:szCs w:val="22"/>
        </w:rPr>
        <w:t>C</w:t>
      </w:r>
      <w:r>
        <w:rPr>
          <w:b/>
          <w:szCs w:val="22"/>
        </w:rPr>
        <w:t xml:space="preserve">luster </w:t>
      </w:r>
      <w:r w:rsidR="00BC1FE8">
        <w:rPr>
          <w:b/>
          <w:szCs w:val="22"/>
        </w:rPr>
        <w:t>#</w:t>
      </w:r>
      <w:r>
        <w:rPr>
          <w:b/>
          <w:szCs w:val="22"/>
        </w:rPr>
        <w:t xml:space="preserve">1) </w:t>
      </w:r>
      <w:r w:rsidR="00E2209E">
        <w:rPr>
          <w:b/>
          <w:szCs w:val="22"/>
        </w:rPr>
        <w:br/>
      </w:r>
      <w:r>
        <w:rPr>
          <w:b/>
          <w:szCs w:val="22"/>
        </w:rPr>
        <w:t>and low scorers (</w:t>
      </w:r>
      <w:r w:rsidR="00BC1FE8">
        <w:rPr>
          <w:b/>
          <w:szCs w:val="22"/>
        </w:rPr>
        <w:t>C</w:t>
      </w:r>
      <w:r>
        <w:rPr>
          <w:b/>
          <w:szCs w:val="22"/>
        </w:rPr>
        <w:t xml:space="preserve">luster </w:t>
      </w:r>
      <w:r w:rsidR="008A15E8">
        <w:rPr>
          <w:b/>
          <w:szCs w:val="22"/>
        </w:rPr>
        <w:t>#</w:t>
      </w:r>
      <w:r>
        <w:rPr>
          <w:b/>
          <w:szCs w:val="22"/>
        </w:rPr>
        <w:t>4</w:t>
      </w:r>
      <w:r w:rsidRPr="00833E7F">
        <w:rPr>
          <w:b/>
          <w:szCs w:val="22"/>
        </w:rPr>
        <w:t>)</w:t>
      </w:r>
      <w:r w:rsidRPr="001C39FB">
        <w:rPr>
          <w:szCs w:val="22"/>
        </w:rPr>
        <w:t xml:space="preserve">, where </w:t>
      </w:r>
      <w:r w:rsidRPr="001C39FB">
        <w:rPr>
          <w:i/>
          <w:szCs w:val="22"/>
        </w:rPr>
        <w:t>n</w:t>
      </w:r>
      <w:r w:rsidRPr="001C39FB">
        <w:rPr>
          <w:szCs w:val="22"/>
        </w:rPr>
        <w:t xml:space="preserve"> = number of quizzes taken, μ = average score achieved </w:t>
      </w:r>
      <w:r w:rsidR="00E2209E">
        <w:rPr>
          <w:szCs w:val="22"/>
        </w:rPr>
        <w:br/>
      </w:r>
      <w:r w:rsidRPr="001C39FB">
        <w:rPr>
          <w:szCs w:val="22"/>
        </w:rPr>
        <w:t>on those quizzes</w:t>
      </w:r>
      <w:r w:rsidR="001B0CE1">
        <w:rPr>
          <w:szCs w:val="22"/>
        </w:rPr>
        <w:t>,</w:t>
      </w:r>
      <w:r w:rsidRPr="001C39FB">
        <w:rPr>
          <w:szCs w:val="22"/>
        </w:rPr>
        <w:t xml:space="preserve"> and σ = standard deviation of the quiz scores.  The size of each bubble </w:t>
      </w:r>
      <w:r w:rsidR="00E2209E">
        <w:rPr>
          <w:szCs w:val="22"/>
        </w:rPr>
        <w:br/>
      </w:r>
      <w:r w:rsidRPr="001C39FB">
        <w:rPr>
          <w:szCs w:val="22"/>
        </w:rPr>
        <w:t>varies by the number of unique quizzes an individual person took.</w:t>
      </w:r>
    </w:p>
    <w:p w14:paraId="3753DCC1" w14:textId="77777777" w:rsidR="00BD1724" w:rsidRDefault="00BD1724" w:rsidP="00BD1724">
      <w:pPr>
        <w:pStyle w:val="Heading2"/>
      </w:pPr>
      <w:r>
        <w:t>Cluster Analysis for Noncredit Learners</w:t>
      </w:r>
    </w:p>
    <w:p w14:paraId="2B24AC36" w14:textId="7943F407" w:rsidR="00A04D6C" w:rsidRDefault="00FE59AD" w:rsidP="001C39FB">
      <w:pPr>
        <w:rPr>
          <w:szCs w:val="22"/>
        </w:rPr>
      </w:pPr>
      <w:r>
        <w:rPr>
          <w:szCs w:val="22"/>
        </w:rPr>
        <w:t>Figure</w:t>
      </w:r>
      <w:r w:rsidRPr="002F3D7A">
        <w:rPr>
          <w:szCs w:val="22"/>
        </w:rPr>
        <w:t xml:space="preserve"> </w:t>
      </w:r>
      <w:r>
        <w:rPr>
          <w:szCs w:val="22"/>
        </w:rPr>
        <w:t xml:space="preserve">4 </w:t>
      </w:r>
      <w:r w:rsidRPr="002F3D7A">
        <w:rPr>
          <w:szCs w:val="22"/>
        </w:rPr>
        <w:t xml:space="preserve">presents graphical results of the cluster analysis for the noncredit learners, which identifies </w:t>
      </w:r>
      <w:r>
        <w:rPr>
          <w:szCs w:val="22"/>
        </w:rPr>
        <w:t>C</w:t>
      </w:r>
      <w:r w:rsidRPr="002F3D7A">
        <w:rPr>
          <w:szCs w:val="22"/>
        </w:rPr>
        <w:t xml:space="preserve">luster </w:t>
      </w:r>
      <w:r>
        <w:rPr>
          <w:szCs w:val="22"/>
        </w:rPr>
        <w:t>#5</w:t>
      </w:r>
      <w:r w:rsidRPr="002F3D7A">
        <w:rPr>
          <w:szCs w:val="22"/>
        </w:rPr>
        <w:t xml:space="preserve"> as being the high </w:t>
      </w:r>
      <w:r>
        <w:rPr>
          <w:szCs w:val="22"/>
        </w:rPr>
        <w:t>scorers</w:t>
      </w:r>
      <w:r w:rsidRPr="002F3D7A">
        <w:rPr>
          <w:szCs w:val="22"/>
        </w:rPr>
        <w:t xml:space="preserve"> and </w:t>
      </w:r>
      <w:r>
        <w:rPr>
          <w:szCs w:val="22"/>
        </w:rPr>
        <w:t>C</w:t>
      </w:r>
      <w:r w:rsidRPr="002F3D7A">
        <w:rPr>
          <w:szCs w:val="22"/>
        </w:rPr>
        <w:t xml:space="preserve">luster </w:t>
      </w:r>
      <w:r>
        <w:rPr>
          <w:szCs w:val="22"/>
        </w:rPr>
        <w:t>#7</w:t>
      </w:r>
      <w:r w:rsidRPr="002F3D7A">
        <w:rPr>
          <w:szCs w:val="22"/>
        </w:rPr>
        <w:t xml:space="preserve"> </w:t>
      </w:r>
      <w:r>
        <w:rPr>
          <w:szCs w:val="22"/>
        </w:rPr>
        <w:t>as the low scorers.   Following selection proc</w:t>
      </w:r>
      <w:r>
        <w:rPr>
          <w:szCs w:val="22"/>
        </w:rPr>
        <w:t>e</w:t>
      </w:r>
      <w:r>
        <w:rPr>
          <w:szCs w:val="22"/>
        </w:rPr>
        <w:t>dures used with credit learners, the high scorers were selected based on the few number of quizzes taken and low standard deviation in scores.</w:t>
      </w:r>
    </w:p>
    <w:p w14:paraId="38EF56D4" w14:textId="59EE2195" w:rsidR="00A04D6C" w:rsidRDefault="00A04D6C" w:rsidP="001B0CE1">
      <w:pPr>
        <w:jc w:val="center"/>
      </w:pPr>
      <w:r w:rsidRPr="00927969">
        <w:rPr>
          <w:rFonts w:ascii="Calibri" w:hAnsi="Calibri"/>
          <w:noProof/>
        </w:rPr>
        <w:drawing>
          <wp:inline distT="0" distB="0" distL="0" distR="0" wp14:anchorId="499C4E2A" wp14:editId="7D6F8A66">
            <wp:extent cx="4210657" cy="2194560"/>
            <wp:effectExtent l="0" t="0" r="0" b="0"/>
            <wp:docPr id="8" name="Picture 8" descr="cid:image002.png@01D38B86.4E53F5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2.png@01D38B86.4E53F540"/>
                    <pic:cNvPicPr>
                      <a:picLocks noChangeAspect="1" noChangeArrowheads="1"/>
                    </pic:cNvPicPr>
                  </pic:nvPicPr>
                  <pic:blipFill rotWithShape="1">
                    <a:blip r:embed="rId19" r:link="rId20" cstate="print">
                      <a:extLst>
                        <a:ext uri="{28A0092B-C50C-407E-A947-70E740481C1C}">
                          <a14:useLocalDpi xmlns:a14="http://schemas.microsoft.com/office/drawing/2010/main" val="0"/>
                        </a:ext>
                      </a:extLst>
                    </a:blip>
                    <a:srcRect t="15596" b="4656"/>
                    <a:stretch/>
                  </pic:blipFill>
                  <pic:spPr bwMode="auto">
                    <a:xfrm>
                      <a:off x="0" y="0"/>
                      <a:ext cx="4210657" cy="2194560"/>
                    </a:xfrm>
                    <a:prstGeom prst="rect">
                      <a:avLst/>
                    </a:prstGeom>
                    <a:noFill/>
                    <a:ln>
                      <a:noFill/>
                    </a:ln>
                    <a:extLst>
                      <a:ext uri="{53640926-AAD7-44D8-BBD7-CCE9431645EC}">
                        <a14:shadowObscured xmlns:a14="http://schemas.microsoft.com/office/drawing/2010/main"/>
                      </a:ext>
                    </a:extLst>
                  </pic:spPr>
                </pic:pic>
              </a:graphicData>
            </a:graphic>
          </wp:inline>
        </w:drawing>
      </w:r>
    </w:p>
    <w:p w14:paraId="50E2DA3B" w14:textId="430432DE" w:rsidR="00A04D6C" w:rsidRDefault="00A04D6C" w:rsidP="001B0CE1">
      <w:pPr>
        <w:jc w:val="center"/>
        <w:rPr>
          <w:b/>
        </w:rPr>
      </w:pPr>
      <w:r>
        <w:rPr>
          <w:b/>
        </w:rPr>
        <w:t xml:space="preserve">Figure 4. Cluster analysis of noncredit learners identifying cluster 5 as high and cluster 7 </w:t>
      </w:r>
      <w:r w:rsidR="001B0CE1">
        <w:rPr>
          <w:b/>
        </w:rPr>
        <w:br/>
      </w:r>
      <w:r>
        <w:rPr>
          <w:b/>
        </w:rPr>
        <w:t xml:space="preserve">as low quiz scoring, </w:t>
      </w:r>
      <w:r w:rsidRPr="001C39FB">
        <w:t xml:space="preserve">where </w:t>
      </w:r>
      <w:r w:rsidRPr="001C39FB">
        <w:rPr>
          <w:i/>
        </w:rPr>
        <w:t>n</w:t>
      </w:r>
      <w:r w:rsidRPr="001C39FB">
        <w:t xml:space="preserve"> = number of quizzes taken, μ = average score achieved </w:t>
      </w:r>
      <w:r w:rsidR="001B0CE1">
        <w:br/>
      </w:r>
      <w:r w:rsidRPr="001C39FB">
        <w:t>on those quizzes and σ = standard deviation of the quiz scores.  The size of each bubble</w:t>
      </w:r>
      <w:r w:rsidR="001B0CE1">
        <w:br/>
      </w:r>
      <w:r w:rsidRPr="001C39FB">
        <w:t xml:space="preserve"> varies by the number of unique quizzes an individual person took.</w:t>
      </w:r>
    </w:p>
    <w:p w14:paraId="4FC629A6" w14:textId="77777777" w:rsidR="008A15E8" w:rsidRDefault="008A15E8" w:rsidP="008A15E8">
      <w:pPr>
        <w:pStyle w:val="Heading2"/>
      </w:pPr>
      <w:r>
        <w:lastRenderedPageBreak/>
        <w:t>Descriptive Statistics for Credit and Noncredit High versus Low Quiz Scorers</w:t>
      </w:r>
    </w:p>
    <w:p w14:paraId="48BE8FBC" w14:textId="1B2B79F3" w:rsidR="00C73251" w:rsidRDefault="00FE59AD" w:rsidP="00795B56">
      <w:pPr>
        <w:rPr>
          <w:szCs w:val="22"/>
        </w:rPr>
      </w:pPr>
      <w:r w:rsidRPr="00345ADD">
        <w:rPr>
          <w:szCs w:val="22"/>
        </w:rPr>
        <w:t>Table 2</w:t>
      </w:r>
      <w:r>
        <w:rPr>
          <w:szCs w:val="22"/>
        </w:rPr>
        <w:t xml:space="preserve"> </w:t>
      </w:r>
      <w:r w:rsidRPr="00345ADD">
        <w:rPr>
          <w:szCs w:val="22"/>
        </w:rPr>
        <w:t xml:space="preserve">reports </w:t>
      </w:r>
      <w:r w:rsidR="007E6E67">
        <w:rPr>
          <w:szCs w:val="22"/>
        </w:rPr>
        <w:t>the</w:t>
      </w:r>
      <w:r w:rsidRPr="00345ADD">
        <w:rPr>
          <w:szCs w:val="22"/>
        </w:rPr>
        <w:t xml:space="preserve"> average quiz scores, median time spent on learning obje</w:t>
      </w:r>
      <w:r>
        <w:rPr>
          <w:szCs w:val="22"/>
        </w:rPr>
        <w:t>cts</w:t>
      </w:r>
      <w:r w:rsidR="007E6E67">
        <w:rPr>
          <w:szCs w:val="22"/>
        </w:rPr>
        <w:t>,</w:t>
      </w:r>
      <w:r>
        <w:rPr>
          <w:szCs w:val="22"/>
        </w:rPr>
        <w:t xml:space="preserve"> and number of qui</w:t>
      </w:r>
      <w:r>
        <w:rPr>
          <w:szCs w:val="22"/>
        </w:rPr>
        <w:t>z</w:t>
      </w:r>
      <w:r>
        <w:rPr>
          <w:szCs w:val="22"/>
        </w:rPr>
        <w:t xml:space="preserve">zes taken for </w:t>
      </w:r>
      <w:r w:rsidRPr="00345ADD">
        <w:rPr>
          <w:szCs w:val="22"/>
        </w:rPr>
        <w:t>four subcategories of PASSEL users</w:t>
      </w:r>
      <w:r>
        <w:rPr>
          <w:szCs w:val="22"/>
        </w:rPr>
        <w:t xml:space="preserve"> identified through the cluster analysis</w:t>
      </w:r>
      <w:r w:rsidRPr="00345ADD">
        <w:rPr>
          <w:szCs w:val="22"/>
        </w:rPr>
        <w:t>: credit st</w:t>
      </w:r>
      <w:r w:rsidRPr="00345ADD">
        <w:rPr>
          <w:szCs w:val="22"/>
        </w:rPr>
        <w:t>u</w:t>
      </w:r>
      <w:r w:rsidRPr="00345ADD">
        <w:rPr>
          <w:szCs w:val="22"/>
        </w:rPr>
        <w:t xml:space="preserve">dents with high quiz scores, credit students with low quiz scores, noncredit with high quiz scores and noncredit with low quiz scores.  </w:t>
      </w:r>
      <w:r>
        <w:rPr>
          <w:szCs w:val="22"/>
        </w:rPr>
        <w:t>T</w:t>
      </w:r>
      <w:r w:rsidRPr="00345ADD">
        <w:rPr>
          <w:szCs w:val="22"/>
        </w:rPr>
        <w:t xml:space="preserve">he total population </w:t>
      </w:r>
      <w:r>
        <w:rPr>
          <w:szCs w:val="22"/>
        </w:rPr>
        <w:t>size of these subcategories was 201.  There were similar usage statistics for high and low</w:t>
      </w:r>
      <w:r w:rsidRPr="00705F30">
        <w:rPr>
          <w:b/>
          <w:szCs w:val="22"/>
        </w:rPr>
        <w:t xml:space="preserve"> </w:t>
      </w:r>
      <w:r w:rsidRPr="00354CD0">
        <w:rPr>
          <w:szCs w:val="22"/>
        </w:rPr>
        <w:t>credit</w:t>
      </w:r>
      <w:r w:rsidRPr="00705F30">
        <w:rPr>
          <w:b/>
          <w:szCs w:val="22"/>
        </w:rPr>
        <w:t xml:space="preserve"> </w:t>
      </w:r>
      <w:r>
        <w:rPr>
          <w:szCs w:val="22"/>
        </w:rPr>
        <w:t>scorers in terms of time spent in a session, an</w:t>
      </w:r>
      <w:r>
        <w:rPr>
          <w:szCs w:val="22"/>
        </w:rPr>
        <w:t>i</w:t>
      </w:r>
      <w:r>
        <w:rPr>
          <w:szCs w:val="22"/>
        </w:rPr>
        <w:t>mation, and glossary.  However, high scorers spent far more time on a lesson (26.32 min) in compar</w:t>
      </w:r>
      <w:r>
        <w:rPr>
          <w:szCs w:val="22"/>
        </w:rPr>
        <w:t>i</w:t>
      </w:r>
      <w:r>
        <w:rPr>
          <w:szCs w:val="22"/>
        </w:rPr>
        <w:t>son to low scorers (14.43 min), and on a quiz (14.65 min vs</w:t>
      </w:r>
      <w:r w:rsidR="008A15E8">
        <w:rPr>
          <w:szCs w:val="22"/>
        </w:rPr>
        <w:t>.</w:t>
      </w:r>
      <w:r>
        <w:rPr>
          <w:szCs w:val="22"/>
        </w:rPr>
        <w:t xml:space="preserve"> 2.84 min).  </w:t>
      </w:r>
      <w:r w:rsidRPr="00354CD0">
        <w:rPr>
          <w:szCs w:val="22"/>
        </w:rPr>
        <w:t>Noncredit</w:t>
      </w:r>
      <w:r w:rsidRPr="00173266">
        <w:rPr>
          <w:szCs w:val="22"/>
        </w:rPr>
        <w:t xml:space="preserve"> </w:t>
      </w:r>
      <w:r>
        <w:rPr>
          <w:szCs w:val="22"/>
        </w:rPr>
        <w:t>comparisons showed some differences in length of time in a session, with the low scorers actually spending more time (18.67 min/low vs</w:t>
      </w:r>
      <w:r w:rsidR="008A15E8">
        <w:rPr>
          <w:szCs w:val="22"/>
        </w:rPr>
        <w:t>.</w:t>
      </w:r>
      <w:r>
        <w:rPr>
          <w:szCs w:val="22"/>
        </w:rPr>
        <w:t xml:space="preserve"> 13.68 min/high).  Median time on a lesson was similar between the two (5.67/high vs</w:t>
      </w:r>
      <w:r w:rsidR="008A15E8">
        <w:rPr>
          <w:szCs w:val="22"/>
        </w:rPr>
        <w:t>.</w:t>
      </w:r>
      <w:r>
        <w:rPr>
          <w:szCs w:val="22"/>
        </w:rPr>
        <w:t xml:space="preserve"> 6.05/low), as well as time on animation (9.42 min/high vs</w:t>
      </w:r>
      <w:r w:rsidR="008A15E8">
        <w:rPr>
          <w:szCs w:val="22"/>
        </w:rPr>
        <w:t>.</w:t>
      </w:r>
      <w:r>
        <w:rPr>
          <w:szCs w:val="22"/>
        </w:rPr>
        <w:t xml:space="preserve"> 9.65 min/low).  In contrast to the credit students, noncredit low scorers spent more time on the quiz than did the high scorers (5.53/high vs</w:t>
      </w:r>
      <w:r w:rsidR="008A15E8">
        <w:rPr>
          <w:szCs w:val="22"/>
        </w:rPr>
        <w:t>.</w:t>
      </w:r>
      <w:r>
        <w:rPr>
          <w:szCs w:val="22"/>
        </w:rPr>
        <w:t xml:space="preserve"> 6.75/low).</w:t>
      </w:r>
    </w:p>
    <w:p w14:paraId="519CEC53" w14:textId="006D54AC" w:rsidR="0035531B" w:rsidRPr="007E6E67" w:rsidRDefault="0035531B" w:rsidP="007E6E67">
      <w:pPr>
        <w:jc w:val="center"/>
        <w:rPr>
          <w:b/>
        </w:rPr>
      </w:pPr>
      <w:r w:rsidRPr="007E6E67">
        <w:rPr>
          <w:b/>
        </w:rPr>
        <w:t xml:space="preserve">Table 2. Credit and noncredit high versus low quiz scorers – Descriptive </w:t>
      </w:r>
      <w:r w:rsidR="00833E7F" w:rsidRPr="007E6E67">
        <w:rPr>
          <w:b/>
        </w:rPr>
        <w:t>a</w:t>
      </w:r>
      <w:r w:rsidRPr="007E6E67">
        <w:rPr>
          <w:b/>
        </w:rPr>
        <w:t>nalysis</w:t>
      </w:r>
    </w:p>
    <w:tbl>
      <w:tblPr>
        <w:tblW w:w="8574" w:type="dxa"/>
        <w:jc w:val="center"/>
        <w:tblLayout w:type="fixed"/>
        <w:tblCellMar>
          <w:left w:w="40" w:type="dxa"/>
          <w:right w:w="40" w:type="dxa"/>
        </w:tblCellMar>
        <w:tblLook w:val="0000" w:firstRow="0" w:lastRow="0" w:firstColumn="0" w:lastColumn="0" w:noHBand="0" w:noVBand="0"/>
      </w:tblPr>
      <w:tblGrid>
        <w:gridCol w:w="982"/>
        <w:gridCol w:w="990"/>
        <w:gridCol w:w="810"/>
        <w:gridCol w:w="270"/>
        <w:gridCol w:w="900"/>
        <w:gridCol w:w="990"/>
        <w:gridCol w:w="900"/>
        <w:gridCol w:w="990"/>
        <w:gridCol w:w="900"/>
        <w:gridCol w:w="842"/>
      </w:tblGrid>
      <w:tr w:rsidR="00CB64F0" w:rsidRPr="0082717A" w14:paraId="0ED27011" w14:textId="77777777" w:rsidTr="001C39FB">
        <w:trPr>
          <w:trHeight w:val="300"/>
          <w:jc w:val="center"/>
        </w:trPr>
        <w:tc>
          <w:tcPr>
            <w:tcW w:w="982" w:type="dxa"/>
            <w:tcBorders>
              <w:top w:val="single" w:sz="6" w:space="0" w:color="000000"/>
              <w:left w:val="single" w:sz="6" w:space="0" w:color="000000"/>
              <w:bottom w:val="single" w:sz="6" w:space="0" w:color="000000"/>
              <w:right w:val="single" w:sz="6" w:space="0" w:color="000000"/>
            </w:tcBorders>
            <w:shd w:val="solid" w:color="C0C0C0" w:fill="auto"/>
            <w:vAlign w:val="center"/>
          </w:tcPr>
          <w:p w14:paraId="0C22FB81" w14:textId="77777777" w:rsidR="00CB64F0" w:rsidRPr="0026120F" w:rsidRDefault="00CB64F0" w:rsidP="001C39FB">
            <w:pPr>
              <w:jc w:val="center"/>
              <w:rPr>
                <w:snapToGrid w:val="0"/>
                <w:sz w:val="20"/>
                <w:szCs w:val="20"/>
              </w:rPr>
            </w:pPr>
            <w:r w:rsidRPr="0026120F">
              <w:rPr>
                <w:snapToGrid w:val="0"/>
                <w:sz w:val="20"/>
                <w:szCs w:val="20"/>
              </w:rPr>
              <w:t>C</w:t>
            </w:r>
            <w:r w:rsidR="0026120F" w:rsidRPr="0026120F">
              <w:rPr>
                <w:snapToGrid w:val="0"/>
                <w:sz w:val="20"/>
                <w:szCs w:val="20"/>
              </w:rPr>
              <w:t>ategory</w:t>
            </w:r>
          </w:p>
        </w:tc>
        <w:tc>
          <w:tcPr>
            <w:tcW w:w="990" w:type="dxa"/>
            <w:tcBorders>
              <w:top w:val="single" w:sz="6" w:space="0" w:color="000000"/>
              <w:left w:val="single" w:sz="6" w:space="0" w:color="000000"/>
              <w:bottom w:val="single" w:sz="6" w:space="0" w:color="000000"/>
              <w:right w:val="single" w:sz="6" w:space="0" w:color="000000"/>
            </w:tcBorders>
            <w:shd w:val="solid" w:color="C0C0C0" w:fill="auto"/>
            <w:vAlign w:val="center"/>
          </w:tcPr>
          <w:p w14:paraId="3517450D" w14:textId="77777777" w:rsidR="00CB64F0" w:rsidRPr="0026120F" w:rsidRDefault="0026120F" w:rsidP="001C39FB">
            <w:pPr>
              <w:jc w:val="center"/>
              <w:rPr>
                <w:snapToGrid w:val="0"/>
                <w:sz w:val="20"/>
                <w:szCs w:val="20"/>
              </w:rPr>
            </w:pPr>
            <w:r w:rsidRPr="0026120F">
              <w:rPr>
                <w:snapToGrid w:val="0"/>
                <w:sz w:val="20"/>
                <w:szCs w:val="20"/>
              </w:rPr>
              <w:t>Average Score / Standard Deviation</w:t>
            </w:r>
          </w:p>
        </w:tc>
        <w:tc>
          <w:tcPr>
            <w:tcW w:w="810" w:type="dxa"/>
            <w:tcBorders>
              <w:top w:val="single" w:sz="6" w:space="0" w:color="000000"/>
              <w:left w:val="single" w:sz="6" w:space="0" w:color="000000"/>
              <w:bottom w:val="single" w:sz="6" w:space="0" w:color="000000"/>
              <w:right w:val="single" w:sz="6" w:space="0" w:color="000000"/>
            </w:tcBorders>
            <w:shd w:val="solid" w:color="C0C0C0" w:fill="auto"/>
            <w:vAlign w:val="center"/>
          </w:tcPr>
          <w:p w14:paraId="58C0DE9C" w14:textId="77777777" w:rsidR="00CB64F0" w:rsidRPr="0026120F" w:rsidRDefault="0026120F" w:rsidP="001C39FB">
            <w:pPr>
              <w:jc w:val="center"/>
              <w:rPr>
                <w:snapToGrid w:val="0"/>
                <w:sz w:val="20"/>
                <w:szCs w:val="20"/>
              </w:rPr>
            </w:pPr>
            <w:r w:rsidRPr="0026120F">
              <w:rPr>
                <w:snapToGrid w:val="0"/>
                <w:sz w:val="20"/>
                <w:szCs w:val="20"/>
              </w:rPr>
              <w:t>Cluster Number</w:t>
            </w:r>
          </w:p>
        </w:tc>
        <w:tc>
          <w:tcPr>
            <w:tcW w:w="270" w:type="dxa"/>
            <w:tcBorders>
              <w:top w:val="single" w:sz="6" w:space="0" w:color="000000"/>
              <w:left w:val="single" w:sz="6" w:space="0" w:color="000000"/>
              <w:bottom w:val="single" w:sz="6" w:space="0" w:color="000000"/>
              <w:right w:val="single" w:sz="6" w:space="0" w:color="000000"/>
            </w:tcBorders>
            <w:shd w:val="solid" w:color="C0C0C0" w:fill="auto"/>
            <w:vAlign w:val="center"/>
          </w:tcPr>
          <w:p w14:paraId="7A28ED2C" w14:textId="77777777" w:rsidR="00CB64F0" w:rsidRPr="0026120F" w:rsidRDefault="00CB64F0" w:rsidP="001C39FB">
            <w:pPr>
              <w:jc w:val="center"/>
              <w:rPr>
                <w:i/>
                <w:snapToGrid w:val="0"/>
                <w:sz w:val="20"/>
                <w:szCs w:val="20"/>
              </w:rPr>
            </w:pPr>
            <w:r w:rsidRPr="0026120F">
              <w:rPr>
                <w:i/>
                <w:snapToGrid w:val="0"/>
                <w:sz w:val="20"/>
                <w:szCs w:val="20"/>
              </w:rPr>
              <w:t>n</w:t>
            </w:r>
          </w:p>
        </w:tc>
        <w:tc>
          <w:tcPr>
            <w:tcW w:w="900" w:type="dxa"/>
            <w:tcBorders>
              <w:top w:val="single" w:sz="6" w:space="0" w:color="000000"/>
              <w:left w:val="single" w:sz="6" w:space="0" w:color="000000"/>
              <w:bottom w:val="single" w:sz="6" w:space="0" w:color="000000"/>
              <w:right w:val="single" w:sz="6" w:space="0" w:color="000000"/>
            </w:tcBorders>
            <w:shd w:val="solid" w:color="C0C0C0" w:fill="auto"/>
            <w:vAlign w:val="center"/>
          </w:tcPr>
          <w:p w14:paraId="0F1F9D69" w14:textId="77777777" w:rsidR="00CB64F0" w:rsidRPr="0026120F" w:rsidRDefault="0026120F" w:rsidP="001C39FB">
            <w:pPr>
              <w:jc w:val="center"/>
              <w:rPr>
                <w:snapToGrid w:val="0"/>
                <w:sz w:val="20"/>
                <w:szCs w:val="20"/>
              </w:rPr>
            </w:pPr>
            <w:r w:rsidRPr="0026120F">
              <w:rPr>
                <w:snapToGrid w:val="0"/>
                <w:sz w:val="20"/>
                <w:szCs w:val="20"/>
              </w:rPr>
              <w:t>Session Median</w:t>
            </w:r>
            <w:r w:rsidR="00CB64F0" w:rsidRPr="0026120F">
              <w:rPr>
                <w:snapToGrid w:val="0"/>
                <w:sz w:val="20"/>
                <w:szCs w:val="20"/>
              </w:rPr>
              <w:t xml:space="preserve"> (minutes)</w:t>
            </w:r>
          </w:p>
        </w:tc>
        <w:tc>
          <w:tcPr>
            <w:tcW w:w="990" w:type="dxa"/>
            <w:tcBorders>
              <w:top w:val="single" w:sz="6" w:space="0" w:color="000000"/>
              <w:left w:val="single" w:sz="6" w:space="0" w:color="000000"/>
              <w:bottom w:val="single" w:sz="6" w:space="0" w:color="000000"/>
              <w:right w:val="single" w:sz="6" w:space="0" w:color="000000"/>
            </w:tcBorders>
            <w:shd w:val="solid" w:color="C0C0C0" w:fill="auto"/>
            <w:vAlign w:val="center"/>
          </w:tcPr>
          <w:p w14:paraId="4AE67253" w14:textId="77777777" w:rsidR="00CB64F0" w:rsidRPr="0026120F" w:rsidRDefault="0026120F" w:rsidP="001C39FB">
            <w:pPr>
              <w:pStyle w:val="Heading4"/>
              <w:rPr>
                <w:b w:val="0"/>
                <w:sz w:val="20"/>
                <w:szCs w:val="20"/>
              </w:rPr>
            </w:pPr>
            <w:r w:rsidRPr="0026120F">
              <w:rPr>
                <w:b w:val="0"/>
                <w:sz w:val="20"/>
                <w:szCs w:val="20"/>
              </w:rPr>
              <w:t xml:space="preserve">Animation Median </w:t>
            </w:r>
            <w:r w:rsidR="00CB64F0" w:rsidRPr="0026120F">
              <w:rPr>
                <w:b w:val="0"/>
                <w:sz w:val="20"/>
                <w:szCs w:val="20"/>
              </w:rPr>
              <w:t>(minutes)</w:t>
            </w:r>
          </w:p>
        </w:tc>
        <w:tc>
          <w:tcPr>
            <w:tcW w:w="900" w:type="dxa"/>
            <w:tcBorders>
              <w:top w:val="single" w:sz="6" w:space="0" w:color="000000"/>
              <w:left w:val="single" w:sz="6" w:space="0" w:color="000000"/>
              <w:bottom w:val="single" w:sz="6" w:space="0" w:color="000000"/>
              <w:right w:val="single" w:sz="6" w:space="0" w:color="000000"/>
            </w:tcBorders>
            <w:shd w:val="solid" w:color="C0C0C0" w:fill="auto"/>
            <w:vAlign w:val="center"/>
          </w:tcPr>
          <w:p w14:paraId="05BCC84D" w14:textId="77777777" w:rsidR="00CB64F0" w:rsidRPr="0026120F" w:rsidRDefault="0026120F" w:rsidP="001C39FB">
            <w:pPr>
              <w:jc w:val="center"/>
              <w:rPr>
                <w:snapToGrid w:val="0"/>
                <w:sz w:val="20"/>
                <w:szCs w:val="20"/>
              </w:rPr>
            </w:pPr>
            <w:r w:rsidRPr="0026120F">
              <w:rPr>
                <w:snapToGrid w:val="0"/>
                <w:sz w:val="20"/>
                <w:szCs w:val="20"/>
              </w:rPr>
              <w:t>Glossary Median</w:t>
            </w:r>
            <w:r w:rsidR="00CB64F0" w:rsidRPr="0026120F">
              <w:rPr>
                <w:snapToGrid w:val="0"/>
                <w:sz w:val="20"/>
                <w:szCs w:val="20"/>
              </w:rPr>
              <w:t xml:space="preserve"> (minutes)</w:t>
            </w:r>
          </w:p>
        </w:tc>
        <w:tc>
          <w:tcPr>
            <w:tcW w:w="990" w:type="dxa"/>
            <w:tcBorders>
              <w:top w:val="single" w:sz="6" w:space="0" w:color="000000"/>
              <w:left w:val="single" w:sz="6" w:space="0" w:color="000000"/>
              <w:bottom w:val="single" w:sz="6" w:space="0" w:color="000000"/>
              <w:right w:val="single" w:sz="6" w:space="0" w:color="000000"/>
            </w:tcBorders>
            <w:shd w:val="solid" w:color="C0C0C0" w:fill="auto"/>
            <w:vAlign w:val="center"/>
          </w:tcPr>
          <w:p w14:paraId="365CE5E6" w14:textId="77777777" w:rsidR="00CB64F0" w:rsidRPr="0026120F" w:rsidRDefault="0026120F" w:rsidP="001C39FB">
            <w:pPr>
              <w:jc w:val="center"/>
              <w:rPr>
                <w:snapToGrid w:val="0"/>
                <w:sz w:val="20"/>
                <w:szCs w:val="20"/>
              </w:rPr>
            </w:pPr>
            <w:r w:rsidRPr="0026120F">
              <w:rPr>
                <w:snapToGrid w:val="0"/>
                <w:sz w:val="20"/>
                <w:szCs w:val="20"/>
              </w:rPr>
              <w:t>Lesson Median</w:t>
            </w:r>
            <w:r w:rsidR="00CB64F0" w:rsidRPr="0026120F">
              <w:rPr>
                <w:snapToGrid w:val="0"/>
                <w:sz w:val="20"/>
                <w:szCs w:val="20"/>
              </w:rPr>
              <w:t xml:space="preserve"> (minutes)</w:t>
            </w:r>
          </w:p>
        </w:tc>
        <w:tc>
          <w:tcPr>
            <w:tcW w:w="900" w:type="dxa"/>
            <w:tcBorders>
              <w:top w:val="single" w:sz="6" w:space="0" w:color="000000"/>
              <w:left w:val="single" w:sz="6" w:space="0" w:color="000000"/>
              <w:bottom w:val="single" w:sz="6" w:space="0" w:color="000000"/>
              <w:right w:val="single" w:sz="6" w:space="0" w:color="000000"/>
            </w:tcBorders>
            <w:shd w:val="solid" w:color="C0C0C0" w:fill="auto"/>
            <w:vAlign w:val="center"/>
          </w:tcPr>
          <w:p w14:paraId="24EC7DAD" w14:textId="77777777" w:rsidR="00CB64F0" w:rsidRPr="0026120F" w:rsidRDefault="0026120F" w:rsidP="001C39FB">
            <w:pPr>
              <w:jc w:val="center"/>
              <w:rPr>
                <w:snapToGrid w:val="0"/>
                <w:sz w:val="20"/>
                <w:szCs w:val="20"/>
              </w:rPr>
            </w:pPr>
            <w:r w:rsidRPr="0026120F">
              <w:rPr>
                <w:snapToGrid w:val="0"/>
                <w:sz w:val="20"/>
                <w:szCs w:val="20"/>
              </w:rPr>
              <w:t>Quiz Median</w:t>
            </w:r>
            <w:r w:rsidR="00CB64F0" w:rsidRPr="0026120F">
              <w:rPr>
                <w:snapToGrid w:val="0"/>
                <w:sz w:val="20"/>
                <w:szCs w:val="20"/>
              </w:rPr>
              <w:t xml:space="preserve"> (minutes)</w:t>
            </w:r>
          </w:p>
        </w:tc>
        <w:tc>
          <w:tcPr>
            <w:tcW w:w="842" w:type="dxa"/>
            <w:tcBorders>
              <w:top w:val="single" w:sz="6" w:space="0" w:color="000000"/>
              <w:left w:val="single" w:sz="6" w:space="0" w:color="000000"/>
              <w:bottom w:val="single" w:sz="6" w:space="0" w:color="000000"/>
              <w:right w:val="single" w:sz="6" w:space="0" w:color="000000"/>
            </w:tcBorders>
            <w:shd w:val="solid" w:color="C0C0C0" w:fill="auto"/>
            <w:vAlign w:val="center"/>
          </w:tcPr>
          <w:p w14:paraId="1F9E1683" w14:textId="77777777" w:rsidR="00CB64F0" w:rsidRPr="0026120F" w:rsidRDefault="0026120F" w:rsidP="001C39FB">
            <w:pPr>
              <w:jc w:val="center"/>
              <w:rPr>
                <w:snapToGrid w:val="0"/>
                <w:sz w:val="20"/>
                <w:szCs w:val="20"/>
              </w:rPr>
            </w:pPr>
            <w:r w:rsidRPr="0026120F">
              <w:rPr>
                <w:snapToGrid w:val="0"/>
                <w:sz w:val="20"/>
                <w:szCs w:val="20"/>
              </w:rPr>
              <w:t>Number Quizzes Taken</w:t>
            </w:r>
          </w:p>
        </w:tc>
      </w:tr>
      <w:tr w:rsidR="00CB64F0" w:rsidRPr="006B638B" w14:paraId="05A19577" w14:textId="77777777" w:rsidTr="001C39FB">
        <w:trPr>
          <w:trHeight w:val="300"/>
          <w:jc w:val="center"/>
        </w:trPr>
        <w:tc>
          <w:tcPr>
            <w:tcW w:w="982" w:type="dxa"/>
            <w:tcBorders>
              <w:top w:val="single" w:sz="6" w:space="0" w:color="C0C0C0"/>
              <w:left w:val="single" w:sz="6" w:space="0" w:color="C0C0C0"/>
              <w:bottom w:val="single" w:sz="6" w:space="0" w:color="C0C0C0"/>
              <w:right w:val="single" w:sz="6" w:space="0" w:color="C0C0C0"/>
            </w:tcBorders>
            <w:shd w:val="solid" w:color="FFFFFF" w:fill="auto"/>
            <w:vAlign w:val="center"/>
          </w:tcPr>
          <w:p w14:paraId="3A21F2CD" w14:textId="77777777" w:rsidR="00CB64F0" w:rsidRPr="0026120F" w:rsidRDefault="00CB64F0" w:rsidP="00833E7F">
            <w:pPr>
              <w:rPr>
                <w:snapToGrid w:val="0"/>
                <w:sz w:val="20"/>
                <w:szCs w:val="20"/>
              </w:rPr>
            </w:pPr>
            <w:r w:rsidRPr="0026120F">
              <w:rPr>
                <w:snapToGrid w:val="0"/>
                <w:sz w:val="20"/>
                <w:szCs w:val="20"/>
              </w:rPr>
              <w:t>Credit high</w:t>
            </w:r>
          </w:p>
        </w:tc>
        <w:tc>
          <w:tcPr>
            <w:tcW w:w="990" w:type="dxa"/>
            <w:tcBorders>
              <w:top w:val="single" w:sz="6" w:space="0" w:color="C0C0C0"/>
              <w:left w:val="single" w:sz="6" w:space="0" w:color="C0C0C0"/>
              <w:bottom w:val="single" w:sz="6" w:space="0" w:color="C0C0C0"/>
              <w:right w:val="single" w:sz="6" w:space="0" w:color="C0C0C0"/>
            </w:tcBorders>
            <w:shd w:val="solid" w:color="FFFFFF" w:fill="auto"/>
            <w:vAlign w:val="center"/>
          </w:tcPr>
          <w:p w14:paraId="436C65E9" w14:textId="77777777" w:rsidR="00CB64F0" w:rsidRPr="0026120F" w:rsidRDefault="00CB64F0" w:rsidP="001C39FB">
            <w:pPr>
              <w:jc w:val="center"/>
              <w:rPr>
                <w:snapToGrid w:val="0"/>
                <w:sz w:val="20"/>
                <w:szCs w:val="20"/>
              </w:rPr>
            </w:pPr>
            <w:r w:rsidRPr="0026120F">
              <w:rPr>
                <w:snapToGrid w:val="0"/>
                <w:sz w:val="20"/>
                <w:szCs w:val="20"/>
              </w:rPr>
              <w:t>83.57 / 8.76</w:t>
            </w:r>
          </w:p>
        </w:tc>
        <w:tc>
          <w:tcPr>
            <w:tcW w:w="810" w:type="dxa"/>
            <w:tcBorders>
              <w:top w:val="single" w:sz="6" w:space="0" w:color="C0C0C0"/>
              <w:left w:val="single" w:sz="6" w:space="0" w:color="C0C0C0"/>
              <w:bottom w:val="single" w:sz="6" w:space="0" w:color="C0C0C0"/>
              <w:right w:val="single" w:sz="6" w:space="0" w:color="C0C0C0"/>
            </w:tcBorders>
            <w:shd w:val="solid" w:color="FFFFFF" w:fill="auto"/>
            <w:vAlign w:val="center"/>
          </w:tcPr>
          <w:p w14:paraId="308E6167" w14:textId="77777777" w:rsidR="00CB64F0" w:rsidRPr="0026120F" w:rsidRDefault="00CB64F0" w:rsidP="001C39FB">
            <w:pPr>
              <w:jc w:val="center"/>
              <w:rPr>
                <w:snapToGrid w:val="0"/>
                <w:sz w:val="20"/>
                <w:szCs w:val="20"/>
              </w:rPr>
            </w:pPr>
            <w:r w:rsidRPr="0026120F">
              <w:rPr>
                <w:snapToGrid w:val="0"/>
                <w:sz w:val="20"/>
                <w:szCs w:val="20"/>
              </w:rPr>
              <w:t>1</w:t>
            </w:r>
          </w:p>
        </w:tc>
        <w:tc>
          <w:tcPr>
            <w:tcW w:w="270" w:type="dxa"/>
            <w:tcBorders>
              <w:top w:val="single" w:sz="6" w:space="0" w:color="C0C0C0"/>
              <w:left w:val="single" w:sz="6" w:space="0" w:color="C0C0C0"/>
              <w:bottom w:val="single" w:sz="6" w:space="0" w:color="C0C0C0"/>
              <w:right w:val="single" w:sz="6" w:space="0" w:color="C0C0C0"/>
            </w:tcBorders>
            <w:shd w:val="solid" w:color="FFFFFF" w:fill="auto"/>
            <w:vAlign w:val="center"/>
          </w:tcPr>
          <w:p w14:paraId="613B8A60" w14:textId="77777777" w:rsidR="00CB64F0" w:rsidRPr="0026120F" w:rsidRDefault="00CB64F0" w:rsidP="001C39FB">
            <w:pPr>
              <w:jc w:val="center"/>
              <w:rPr>
                <w:snapToGrid w:val="0"/>
                <w:sz w:val="20"/>
                <w:szCs w:val="20"/>
              </w:rPr>
            </w:pPr>
            <w:r w:rsidRPr="0026120F">
              <w:rPr>
                <w:snapToGrid w:val="0"/>
                <w:sz w:val="20"/>
                <w:szCs w:val="20"/>
              </w:rPr>
              <w:t>33</w:t>
            </w:r>
          </w:p>
        </w:tc>
        <w:tc>
          <w:tcPr>
            <w:tcW w:w="900" w:type="dxa"/>
            <w:tcBorders>
              <w:top w:val="single" w:sz="6" w:space="0" w:color="C0C0C0"/>
              <w:left w:val="single" w:sz="6" w:space="0" w:color="C0C0C0"/>
              <w:bottom w:val="single" w:sz="6" w:space="0" w:color="C0C0C0"/>
              <w:right w:val="single" w:sz="6" w:space="0" w:color="C0C0C0"/>
            </w:tcBorders>
            <w:shd w:val="solid" w:color="FFFFFF" w:fill="auto"/>
            <w:vAlign w:val="center"/>
          </w:tcPr>
          <w:p w14:paraId="44387C89" w14:textId="77777777" w:rsidR="00CB64F0" w:rsidRPr="0026120F" w:rsidRDefault="00CB64F0" w:rsidP="001C39FB">
            <w:pPr>
              <w:jc w:val="center"/>
              <w:rPr>
                <w:snapToGrid w:val="0"/>
                <w:sz w:val="20"/>
                <w:szCs w:val="20"/>
              </w:rPr>
            </w:pPr>
            <w:r w:rsidRPr="0026120F">
              <w:rPr>
                <w:snapToGrid w:val="0"/>
                <w:sz w:val="20"/>
                <w:szCs w:val="20"/>
              </w:rPr>
              <w:t>6.68*</w:t>
            </w:r>
          </w:p>
        </w:tc>
        <w:tc>
          <w:tcPr>
            <w:tcW w:w="990" w:type="dxa"/>
            <w:tcBorders>
              <w:top w:val="single" w:sz="6" w:space="0" w:color="C0C0C0"/>
              <w:left w:val="single" w:sz="6" w:space="0" w:color="C0C0C0"/>
              <w:bottom w:val="single" w:sz="6" w:space="0" w:color="C0C0C0"/>
              <w:right w:val="single" w:sz="6" w:space="0" w:color="C0C0C0"/>
            </w:tcBorders>
            <w:shd w:val="solid" w:color="FFFFFF" w:fill="auto"/>
            <w:vAlign w:val="center"/>
          </w:tcPr>
          <w:p w14:paraId="460E70AE" w14:textId="77777777" w:rsidR="00CB64F0" w:rsidRPr="0026120F" w:rsidRDefault="00CB64F0" w:rsidP="001C39FB">
            <w:pPr>
              <w:jc w:val="center"/>
              <w:rPr>
                <w:snapToGrid w:val="0"/>
                <w:sz w:val="20"/>
                <w:szCs w:val="20"/>
              </w:rPr>
            </w:pPr>
            <w:r w:rsidRPr="0026120F">
              <w:rPr>
                <w:snapToGrid w:val="0"/>
                <w:sz w:val="20"/>
                <w:szCs w:val="20"/>
              </w:rPr>
              <w:t>3.52</w:t>
            </w:r>
          </w:p>
        </w:tc>
        <w:tc>
          <w:tcPr>
            <w:tcW w:w="900" w:type="dxa"/>
            <w:tcBorders>
              <w:top w:val="single" w:sz="6" w:space="0" w:color="C0C0C0"/>
              <w:left w:val="single" w:sz="6" w:space="0" w:color="C0C0C0"/>
              <w:bottom w:val="single" w:sz="6" w:space="0" w:color="C0C0C0"/>
              <w:right w:val="single" w:sz="6" w:space="0" w:color="C0C0C0"/>
            </w:tcBorders>
            <w:shd w:val="solid" w:color="FFFFFF" w:fill="auto"/>
            <w:vAlign w:val="center"/>
          </w:tcPr>
          <w:p w14:paraId="3305A60B" w14:textId="77777777" w:rsidR="00CB64F0" w:rsidRPr="0026120F" w:rsidRDefault="00CB64F0" w:rsidP="001C39FB">
            <w:pPr>
              <w:jc w:val="center"/>
              <w:rPr>
                <w:snapToGrid w:val="0"/>
                <w:sz w:val="20"/>
                <w:szCs w:val="20"/>
              </w:rPr>
            </w:pPr>
            <w:r w:rsidRPr="0026120F">
              <w:rPr>
                <w:snapToGrid w:val="0"/>
                <w:sz w:val="20"/>
                <w:szCs w:val="20"/>
              </w:rPr>
              <w:t>0.05</w:t>
            </w:r>
          </w:p>
        </w:tc>
        <w:tc>
          <w:tcPr>
            <w:tcW w:w="990" w:type="dxa"/>
            <w:tcBorders>
              <w:top w:val="single" w:sz="6" w:space="0" w:color="C0C0C0"/>
              <w:left w:val="single" w:sz="6" w:space="0" w:color="C0C0C0"/>
              <w:bottom w:val="single" w:sz="6" w:space="0" w:color="C0C0C0"/>
              <w:right w:val="single" w:sz="6" w:space="0" w:color="C0C0C0"/>
            </w:tcBorders>
            <w:shd w:val="solid" w:color="FFFFFF" w:fill="auto"/>
            <w:vAlign w:val="center"/>
          </w:tcPr>
          <w:p w14:paraId="7ABFBDDF" w14:textId="77777777" w:rsidR="00CB64F0" w:rsidRPr="0026120F" w:rsidRDefault="00CB64F0" w:rsidP="001C39FB">
            <w:pPr>
              <w:jc w:val="center"/>
              <w:rPr>
                <w:snapToGrid w:val="0"/>
                <w:sz w:val="20"/>
                <w:szCs w:val="20"/>
              </w:rPr>
            </w:pPr>
            <w:r w:rsidRPr="0026120F">
              <w:rPr>
                <w:snapToGrid w:val="0"/>
                <w:sz w:val="20"/>
                <w:szCs w:val="20"/>
              </w:rPr>
              <w:t>26.32</w:t>
            </w:r>
          </w:p>
        </w:tc>
        <w:tc>
          <w:tcPr>
            <w:tcW w:w="900" w:type="dxa"/>
            <w:tcBorders>
              <w:top w:val="single" w:sz="6" w:space="0" w:color="C0C0C0"/>
              <w:left w:val="single" w:sz="6" w:space="0" w:color="C0C0C0"/>
              <w:bottom w:val="single" w:sz="6" w:space="0" w:color="C0C0C0"/>
              <w:right w:val="single" w:sz="6" w:space="0" w:color="C0C0C0"/>
            </w:tcBorders>
            <w:shd w:val="solid" w:color="FFFFFF" w:fill="auto"/>
            <w:vAlign w:val="center"/>
          </w:tcPr>
          <w:p w14:paraId="28E417F6" w14:textId="77777777" w:rsidR="00CB64F0" w:rsidRPr="0026120F" w:rsidRDefault="00CB64F0" w:rsidP="001C39FB">
            <w:pPr>
              <w:jc w:val="center"/>
              <w:rPr>
                <w:snapToGrid w:val="0"/>
                <w:sz w:val="20"/>
                <w:szCs w:val="20"/>
              </w:rPr>
            </w:pPr>
            <w:r w:rsidRPr="0026120F">
              <w:rPr>
                <w:snapToGrid w:val="0"/>
                <w:sz w:val="20"/>
                <w:szCs w:val="20"/>
              </w:rPr>
              <w:t>14.65</w:t>
            </w:r>
          </w:p>
        </w:tc>
        <w:tc>
          <w:tcPr>
            <w:tcW w:w="842" w:type="dxa"/>
            <w:tcBorders>
              <w:top w:val="single" w:sz="6" w:space="0" w:color="C0C0C0"/>
              <w:left w:val="single" w:sz="6" w:space="0" w:color="C0C0C0"/>
              <w:bottom w:val="single" w:sz="6" w:space="0" w:color="C0C0C0"/>
              <w:right w:val="single" w:sz="6" w:space="0" w:color="C0C0C0"/>
            </w:tcBorders>
            <w:shd w:val="solid" w:color="FFFFFF" w:fill="auto"/>
            <w:vAlign w:val="center"/>
          </w:tcPr>
          <w:p w14:paraId="51780D43" w14:textId="77777777" w:rsidR="00CB64F0" w:rsidRPr="0026120F" w:rsidRDefault="00CB64F0" w:rsidP="001C39FB">
            <w:pPr>
              <w:jc w:val="center"/>
              <w:rPr>
                <w:snapToGrid w:val="0"/>
                <w:sz w:val="20"/>
                <w:szCs w:val="20"/>
              </w:rPr>
            </w:pPr>
            <w:r w:rsidRPr="0026120F">
              <w:rPr>
                <w:snapToGrid w:val="0"/>
                <w:sz w:val="20"/>
                <w:szCs w:val="20"/>
              </w:rPr>
              <w:t>4.03</w:t>
            </w:r>
          </w:p>
        </w:tc>
      </w:tr>
      <w:tr w:rsidR="00CB64F0" w:rsidRPr="006B638B" w14:paraId="75849D51" w14:textId="77777777" w:rsidTr="001C39FB">
        <w:trPr>
          <w:trHeight w:val="300"/>
          <w:jc w:val="center"/>
        </w:trPr>
        <w:tc>
          <w:tcPr>
            <w:tcW w:w="982" w:type="dxa"/>
            <w:tcBorders>
              <w:top w:val="single" w:sz="6" w:space="0" w:color="C0C0C0"/>
              <w:left w:val="single" w:sz="6" w:space="0" w:color="C0C0C0"/>
              <w:bottom w:val="single" w:sz="6" w:space="0" w:color="C0C0C0"/>
              <w:right w:val="single" w:sz="6" w:space="0" w:color="C0C0C0"/>
            </w:tcBorders>
            <w:shd w:val="solid" w:color="FFFFFF" w:fill="auto"/>
            <w:vAlign w:val="center"/>
          </w:tcPr>
          <w:p w14:paraId="22EFACB5" w14:textId="77777777" w:rsidR="00CB64F0" w:rsidRPr="0026120F" w:rsidRDefault="00CB64F0" w:rsidP="00833E7F">
            <w:pPr>
              <w:rPr>
                <w:snapToGrid w:val="0"/>
                <w:sz w:val="20"/>
                <w:szCs w:val="20"/>
              </w:rPr>
            </w:pPr>
            <w:r w:rsidRPr="0026120F">
              <w:rPr>
                <w:snapToGrid w:val="0"/>
                <w:sz w:val="20"/>
                <w:szCs w:val="20"/>
              </w:rPr>
              <w:t>Credit low</w:t>
            </w:r>
          </w:p>
        </w:tc>
        <w:tc>
          <w:tcPr>
            <w:tcW w:w="990" w:type="dxa"/>
            <w:tcBorders>
              <w:top w:val="single" w:sz="6" w:space="0" w:color="C0C0C0"/>
              <w:left w:val="single" w:sz="6" w:space="0" w:color="C0C0C0"/>
              <w:bottom w:val="single" w:sz="6" w:space="0" w:color="C0C0C0"/>
              <w:right w:val="single" w:sz="6" w:space="0" w:color="C0C0C0"/>
            </w:tcBorders>
            <w:shd w:val="solid" w:color="FFFFFF" w:fill="auto"/>
            <w:vAlign w:val="center"/>
          </w:tcPr>
          <w:p w14:paraId="5FC15140" w14:textId="77777777" w:rsidR="00CB64F0" w:rsidRPr="0026120F" w:rsidRDefault="00CB64F0" w:rsidP="001C39FB">
            <w:pPr>
              <w:jc w:val="center"/>
              <w:rPr>
                <w:snapToGrid w:val="0"/>
                <w:sz w:val="20"/>
                <w:szCs w:val="20"/>
              </w:rPr>
            </w:pPr>
            <w:r w:rsidRPr="0026120F">
              <w:rPr>
                <w:snapToGrid w:val="0"/>
                <w:sz w:val="20"/>
                <w:szCs w:val="20"/>
              </w:rPr>
              <w:t>10.47 / 9.36</w:t>
            </w:r>
          </w:p>
        </w:tc>
        <w:tc>
          <w:tcPr>
            <w:tcW w:w="810" w:type="dxa"/>
            <w:tcBorders>
              <w:top w:val="single" w:sz="6" w:space="0" w:color="C0C0C0"/>
              <w:left w:val="single" w:sz="6" w:space="0" w:color="C0C0C0"/>
              <w:bottom w:val="single" w:sz="6" w:space="0" w:color="C0C0C0"/>
              <w:right w:val="single" w:sz="6" w:space="0" w:color="C0C0C0"/>
            </w:tcBorders>
            <w:shd w:val="solid" w:color="FFFFFF" w:fill="auto"/>
            <w:vAlign w:val="center"/>
          </w:tcPr>
          <w:p w14:paraId="1656F89E" w14:textId="77777777" w:rsidR="00CB64F0" w:rsidRPr="0026120F" w:rsidRDefault="00CB64F0" w:rsidP="001C39FB">
            <w:pPr>
              <w:jc w:val="center"/>
              <w:rPr>
                <w:snapToGrid w:val="0"/>
                <w:sz w:val="20"/>
                <w:szCs w:val="20"/>
              </w:rPr>
            </w:pPr>
            <w:r w:rsidRPr="0026120F">
              <w:rPr>
                <w:snapToGrid w:val="0"/>
                <w:sz w:val="20"/>
                <w:szCs w:val="20"/>
              </w:rPr>
              <w:t>4</w:t>
            </w:r>
          </w:p>
        </w:tc>
        <w:tc>
          <w:tcPr>
            <w:tcW w:w="270" w:type="dxa"/>
            <w:tcBorders>
              <w:top w:val="single" w:sz="6" w:space="0" w:color="C0C0C0"/>
              <w:left w:val="single" w:sz="6" w:space="0" w:color="C0C0C0"/>
              <w:bottom w:val="single" w:sz="6" w:space="0" w:color="C0C0C0"/>
              <w:right w:val="single" w:sz="6" w:space="0" w:color="C0C0C0"/>
            </w:tcBorders>
            <w:shd w:val="solid" w:color="FFFFFF" w:fill="auto"/>
            <w:vAlign w:val="center"/>
          </w:tcPr>
          <w:p w14:paraId="218C7C40" w14:textId="77777777" w:rsidR="00CB64F0" w:rsidRPr="0026120F" w:rsidRDefault="00CB64F0" w:rsidP="001C39FB">
            <w:pPr>
              <w:jc w:val="center"/>
              <w:rPr>
                <w:snapToGrid w:val="0"/>
                <w:sz w:val="20"/>
                <w:szCs w:val="20"/>
              </w:rPr>
            </w:pPr>
            <w:r w:rsidRPr="0026120F">
              <w:rPr>
                <w:snapToGrid w:val="0"/>
                <w:sz w:val="20"/>
                <w:szCs w:val="20"/>
              </w:rPr>
              <w:t>15</w:t>
            </w:r>
          </w:p>
        </w:tc>
        <w:tc>
          <w:tcPr>
            <w:tcW w:w="900" w:type="dxa"/>
            <w:tcBorders>
              <w:top w:val="single" w:sz="6" w:space="0" w:color="C0C0C0"/>
              <w:left w:val="single" w:sz="6" w:space="0" w:color="C0C0C0"/>
              <w:bottom w:val="single" w:sz="6" w:space="0" w:color="C0C0C0"/>
              <w:right w:val="single" w:sz="6" w:space="0" w:color="C0C0C0"/>
            </w:tcBorders>
            <w:shd w:val="solid" w:color="FFFFFF" w:fill="auto"/>
            <w:vAlign w:val="center"/>
          </w:tcPr>
          <w:p w14:paraId="2587553B" w14:textId="77777777" w:rsidR="00CB64F0" w:rsidRPr="0026120F" w:rsidRDefault="00CB64F0" w:rsidP="001C39FB">
            <w:pPr>
              <w:jc w:val="center"/>
              <w:rPr>
                <w:snapToGrid w:val="0"/>
                <w:sz w:val="20"/>
                <w:szCs w:val="20"/>
              </w:rPr>
            </w:pPr>
            <w:r w:rsidRPr="0026120F">
              <w:rPr>
                <w:snapToGrid w:val="0"/>
                <w:sz w:val="20"/>
                <w:szCs w:val="20"/>
              </w:rPr>
              <w:t>5.32</w:t>
            </w:r>
          </w:p>
        </w:tc>
        <w:tc>
          <w:tcPr>
            <w:tcW w:w="990" w:type="dxa"/>
            <w:tcBorders>
              <w:top w:val="single" w:sz="6" w:space="0" w:color="C0C0C0"/>
              <w:left w:val="single" w:sz="6" w:space="0" w:color="C0C0C0"/>
              <w:bottom w:val="single" w:sz="6" w:space="0" w:color="C0C0C0"/>
              <w:right w:val="single" w:sz="6" w:space="0" w:color="C0C0C0"/>
            </w:tcBorders>
            <w:shd w:val="solid" w:color="FFFFFF" w:fill="auto"/>
            <w:vAlign w:val="center"/>
          </w:tcPr>
          <w:p w14:paraId="53DD71D4" w14:textId="77777777" w:rsidR="00CB64F0" w:rsidRPr="0026120F" w:rsidRDefault="00CB64F0" w:rsidP="001C39FB">
            <w:pPr>
              <w:jc w:val="center"/>
              <w:rPr>
                <w:snapToGrid w:val="0"/>
                <w:sz w:val="20"/>
                <w:szCs w:val="20"/>
              </w:rPr>
            </w:pPr>
            <w:r w:rsidRPr="0026120F">
              <w:rPr>
                <w:snapToGrid w:val="0"/>
                <w:sz w:val="20"/>
                <w:szCs w:val="20"/>
              </w:rPr>
              <w:t>3.62</w:t>
            </w:r>
          </w:p>
        </w:tc>
        <w:tc>
          <w:tcPr>
            <w:tcW w:w="900" w:type="dxa"/>
            <w:tcBorders>
              <w:top w:val="single" w:sz="6" w:space="0" w:color="C0C0C0"/>
              <w:left w:val="single" w:sz="6" w:space="0" w:color="C0C0C0"/>
              <w:bottom w:val="single" w:sz="6" w:space="0" w:color="C0C0C0"/>
              <w:right w:val="single" w:sz="6" w:space="0" w:color="C0C0C0"/>
            </w:tcBorders>
            <w:shd w:val="solid" w:color="FFFFFF" w:fill="auto"/>
            <w:vAlign w:val="center"/>
          </w:tcPr>
          <w:p w14:paraId="7164B119" w14:textId="77777777" w:rsidR="00CB64F0" w:rsidRPr="0026120F" w:rsidRDefault="00CB64F0" w:rsidP="001C39FB">
            <w:pPr>
              <w:jc w:val="center"/>
              <w:rPr>
                <w:snapToGrid w:val="0"/>
                <w:sz w:val="20"/>
                <w:szCs w:val="20"/>
              </w:rPr>
            </w:pPr>
            <w:r w:rsidRPr="0026120F">
              <w:rPr>
                <w:snapToGrid w:val="0"/>
                <w:sz w:val="20"/>
                <w:szCs w:val="20"/>
              </w:rPr>
              <w:t>0.13</w:t>
            </w:r>
          </w:p>
        </w:tc>
        <w:tc>
          <w:tcPr>
            <w:tcW w:w="990" w:type="dxa"/>
            <w:tcBorders>
              <w:top w:val="single" w:sz="6" w:space="0" w:color="C0C0C0"/>
              <w:left w:val="single" w:sz="6" w:space="0" w:color="C0C0C0"/>
              <w:bottom w:val="single" w:sz="6" w:space="0" w:color="C0C0C0"/>
              <w:right w:val="single" w:sz="6" w:space="0" w:color="C0C0C0"/>
            </w:tcBorders>
            <w:shd w:val="solid" w:color="FFFFFF" w:fill="auto"/>
            <w:vAlign w:val="center"/>
          </w:tcPr>
          <w:p w14:paraId="3EEAF92E" w14:textId="77777777" w:rsidR="00CB64F0" w:rsidRPr="0026120F" w:rsidRDefault="00CB64F0" w:rsidP="001C39FB">
            <w:pPr>
              <w:jc w:val="center"/>
              <w:rPr>
                <w:snapToGrid w:val="0"/>
                <w:sz w:val="20"/>
                <w:szCs w:val="20"/>
              </w:rPr>
            </w:pPr>
            <w:r w:rsidRPr="0026120F">
              <w:rPr>
                <w:snapToGrid w:val="0"/>
                <w:sz w:val="20"/>
                <w:szCs w:val="20"/>
              </w:rPr>
              <w:t>14.43</w:t>
            </w:r>
          </w:p>
        </w:tc>
        <w:tc>
          <w:tcPr>
            <w:tcW w:w="900" w:type="dxa"/>
            <w:tcBorders>
              <w:top w:val="single" w:sz="6" w:space="0" w:color="C0C0C0"/>
              <w:left w:val="single" w:sz="6" w:space="0" w:color="C0C0C0"/>
              <w:bottom w:val="single" w:sz="6" w:space="0" w:color="C0C0C0"/>
              <w:right w:val="single" w:sz="6" w:space="0" w:color="C0C0C0"/>
            </w:tcBorders>
            <w:shd w:val="solid" w:color="FFFFFF" w:fill="auto"/>
            <w:vAlign w:val="center"/>
          </w:tcPr>
          <w:p w14:paraId="57661F2B" w14:textId="77777777" w:rsidR="00CB64F0" w:rsidRPr="0026120F" w:rsidRDefault="00CB64F0" w:rsidP="001C39FB">
            <w:pPr>
              <w:jc w:val="center"/>
              <w:rPr>
                <w:snapToGrid w:val="0"/>
                <w:sz w:val="20"/>
                <w:szCs w:val="20"/>
              </w:rPr>
            </w:pPr>
            <w:r w:rsidRPr="0026120F">
              <w:rPr>
                <w:snapToGrid w:val="0"/>
                <w:sz w:val="20"/>
                <w:szCs w:val="20"/>
              </w:rPr>
              <w:t>2.84</w:t>
            </w:r>
          </w:p>
        </w:tc>
        <w:tc>
          <w:tcPr>
            <w:tcW w:w="842" w:type="dxa"/>
            <w:tcBorders>
              <w:top w:val="single" w:sz="6" w:space="0" w:color="C0C0C0"/>
              <w:left w:val="single" w:sz="6" w:space="0" w:color="C0C0C0"/>
              <w:bottom w:val="single" w:sz="6" w:space="0" w:color="C0C0C0"/>
              <w:right w:val="single" w:sz="6" w:space="0" w:color="C0C0C0"/>
            </w:tcBorders>
            <w:shd w:val="solid" w:color="FFFFFF" w:fill="auto"/>
            <w:vAlign w:val="center"/>
          </w:tcPr>
          <w:p w14:paraId="03C69D13" w14:textId="77777777" w:rsidR="00CB64F0" w:rsidRPr="0026120F" w:rsidRDefault="00CB64F0" w:rsidP="001C39FB">
            <w:pPr>
              <w:jc w:val="center"/>
              <w:rPr>
                <w:snapToGrid w:val="0"/>
                <w:sz w:val="20"/>
                <w:szCs w:val="20"/>
              </w:rPr>
            </w:pPr>
            <w:r w:rsidRPr="0026120F">
              <w:rPr>
                <w:snapToGrid w:val="0"/>
                <w:sz w:val="20"/>
                <w:szCs w:val="20"/>
              </w:rPr>
              <w:t>1.27</w:t>
            </w:r>
          </w:p>
        </w:tc>
      </w:tr>
      <w:tr w:rsidR="00CB64F0" w:rsidRPr="006B638B" w14:paraId="64014BCB" w14:textId="77777777" w:rsidTr="001C39FB">
        <w:trPr>
          <w:trHeight w:val="300"/>
          <w:jc w:val="center"/>
        </w:trPr>
        <w:tc>
          <w:tcPr>
            <w:tcW w:w="982" w:type="dxa"/>
            <w:tcBorders>
              <w:top w:val="single" w:sz="6" w:space="0" w:color="C0C0C0"/>
              <w:left w:val="single" w:sz="6" w:space="0" w:color="C0C0C0"/>
              <w:bottom w:val="single" w:sz="6" w:space="0" w:color="C0C0C0"/>
              <w:right w:val="single" w:sz="6" w:space="0" w:color="C0C0C0"/>
            </w:tcBorders>
            <w:shd w:val="solid" w:color="FFFFFF" w:fill="auto"/>
            <w:vAlign w:val="center"/>
          </w:tcPr>
          <w:p w14:paraId="7B942E33" w14:textId="77777777" w:rsidR="00CB64F0" w:rsidRPr="0026120F" w:rsidRDefault="00CB64F0" w:rsidP="00833E7F">
            <w:pPr>
              <w:rPr>
                <w:snapToGrid w:val="0"/>
                <w:sz w:val="20"/>
                <w:szCs w:val="20"/>
              </w:rPr>
            </w:pPr>
            <w:r w:rsidRPr="0026120F">
              <w:rPr>
                <w:snapToGrid w:val="0"/>
                <w:sz w:val="20"/>
                <w:szCs w:val="20"/>
              </w:rPr>
              <w:t>Noncredit high</w:t>
            </w:r>
          </w:p>
        </w:tc>
        <w:tc>
          <w:tcPr>
            <w:tcW w:w="990" w:type="dxa"/>
            <w:tcBorders>
              <w:top w:val="single" w:sz="6" w:space="0" w:color="C0C0C0"/>
              <w:left w:val="single" w:sz="6" w:space="0" w:color="C0C0C0"/>
              <w:bottom w:val="single" w:sz="6" w:space="0" w:color="C0C0C0"/>
              <w:right w:val="single" w:sz="6" w:space="0" w:color="C0C0C0"/>
            </w:tcBorders>
            <w:shd w:val="solid" w:color="FFFFFF" w:fill="auto"/>
            <w:vAlign w:val="center"/>
          </w:tcPr>
          <w:p w14:paraId="7EBD4B71" w14:textId="77777777" w:rsidR="00CB64F0" w:rsidRPr="0026120F" w:rsidRDefault="00CB64F0" w:rsidP="001C39FB">
            <w:pPr>
              <w:jc w:val="center"/>
              <w:rPr>
                <w:snapToGrid w:val="0"/>
                <w:sz w:val="20"/>
                <w:szCs w:val="20"/>
              </w:rPr>
            </w:pPr>
            <w:r w:rsidRPr="0026120F">
              <w:rPr>
                <w:snapToGrid w:val="0"/>
                <w:sz w:val="20"/>
                <w:szCs w:val="20"/>
              </w:rPr>
              <w:t>78.08 / 10.42</w:t>
            </w:r>
          </w:p>
        </w:tc>
        <w:tc>
          <w:tcPr>
            <w:tcW w:w="810" w:type="dxa"/>
            <w:tcBorders>
              <w:top w:val="single" w:sz="6" w:space="0" w:color="C0C0C0"/>
              <w:left w:val="single" w:sz="6" w:space="0" w:color="C0C0C0"/>
              <w:bottom w:val="single" w:sz="6" w:space="0" w:color="C0C0C0"/>
              <w:right w:val="single" w:sz="6" w:space="0" w:color="C0C0C0"/>
            </w:tcBorders>
            <w:shd w:val="solid" w:color="FFFFFF" w:fill="auto"/>
            <w:vAlign w:val="center"/>
          </w:tcPr>
          <w:p w14:paraId="3F042410" w14:textId="77777777" w:rsidR="00CB64F0" w:rsidRPr="0026120F" w:rsidRDefault="00CB64F0" w:rsidP="001C39FB">
            <w:pPr>
              <w:jc w:val="center"/>
              <w:rPr>
                <w:snapToGrid w:val="0"/>
                <w:sz w:val="20"/>
                <w:szCs w:val="20"/>
              </w:rPr>
            </w:pPr>
            <w:r w:rsidRPr="0026120F">
              <w:rPr>
                <w:snapToGrid w:val="0"/>
                <w:sz w:val="20"/>
                <w:szCs w:val="20"/>
              </w:rPr>
              <w:t>5</w:t>
            </w:r>
          </w:p>
        </w:tc>
        <w:tc>
          <w:tcPr>
            <w:tcW w:w="270" w:type="dxa"/>
            <w:tcBorders>
              <w:top w:val="single" w:sz="6" w:space="0" w:color="C0C0C0"/>
              <w:left w:val="single" w:sz="6" w:space="0" w:color="C0C0C0"/>
              <w:bottom w:val="single" w:sz="6" w:space="0" w:color="C0C0C0"/>
              <w:right w:val="single" w:sz="6" w:space="0" w:color="C0C0C0"/>
            </w:tcBorders>
            <w:shd w:val="solid" w:color="FFFFFF" w:fill="auto"/>
            <w:vAlign w:val="center"/>
          </w:tcPr>
          <w:p w14:paraId="1CE856F3" w14:textId="77777777" w:rsidR="00CB64F0" w:rsidRPr="0026120F" w:rsidRDefault="00CB64F0" w:rsidP="001C39FB">
            <w:pPr>
              <w:jc w:val="center"/>
              <w:rPr>
                <w:snapToGrid w:val="0"/>
                <w:sz w:val="20"/>
                <w:szCs w:val="20"/>
              </w:rPr>
            </w:pPr>
            <w:r w:rsidRPr="0026120F">
              <w:rPr>
                <w:snapToGrid w:val="0"/>
                <w:sz w:val="20"/>
                <w:szCs w:val="20"/>
              </w:rPr>
              <w:t>56</w:t>
            </w:r>
          </w:p>
        </w:tc>
        <w:tc>
          <w:tcPr>
            <w:tcW w:w="900" w:type="dxa"/>
            <w:tcBorders>
              <w:top w:val="single" w:sz="6" w:space="0" w:color="C0C0C0"/>
              <w:left w:val="single" w:sz="6" w:space="0" w:color="C0C0C0"/>
              <w:bottom w:val="single" w:sz="6" w:space="0" w:color="C0C0C0"/>
              <w:right w:val="single" w:sz="6" w:space="0" w:color="C0C0C0"/>
            </w:tcBorders>
            <w:shd w:val="solid" w:color="FFFFFF" w:fill="auto"/>
            <w:vAlign w:val="center"/>
          </w:tcPr>
          <w:p w14:paraId="185C79A7" w14:textId="77777777" w:rsidR="00CB64F0" w:rsidRPr="0026120F" w:rsidRDefault="00CB64F0" w:rsidP="001C39FB">
            <w:pPr>
              <w:jc w:val="center"/>
              <w:rPr>
                <w:snapToGrid w:val="0"/>
                <w:sz w:val="20"/>
                <w:szCs w:val="20"/>
              </w:rPr>
            </w:pPr>
            <w:r w:rsidRPr="0026120F">
              <w:rPr>
                <w:snapToGrid w:val="0"/>
                <w:sz w:val="20"/>
                <w:szCs w:val="20"/>
              </w:rPr>
              <w:t>13.68</w:t>
            </w:r>
          </w:p>
        </w:tc>
        <w:tc>
          <w:tcPr>
            <w:tcW w:w="990" w:type="dxa"/>
            <w:tcBorders>
              <w:top w:val="single" w:sz="6" w:space="0" w:color="C0C0C0"/>
              <w:left w:val="single" w:sz="6" w:space="0" w:color="C0C0C0"/>
              <w:bottom w:val="single" w:sz="6" w:space="0" w:color="C0C0C0"/>
              <w:right w:val="single" w:sz="6" w:space="0" w:color="C0C0C0"/>
            </w:tcBorders>
            <w:shd w:val="solid" w:color="FFFFFF" w:fill="auto"/>
            <w:vAlign w:val="center"/>
          </w:tcPr>
          <w:p w14:paraId="2EB3B92F" w14:textId="77777777" w:rsidR="00CB64F0" w:rsidRPr="0026120F" w:rsidRDefault="00CB64F0" w:rsidP="001C39FB">
            <w:pPr>
              <w:jc w:val="center"/>
              <w:rPr>
                <w:snapToGrid w:val="0"/>
                <w:sz w:val="20"/>
                <w:szCs w:val="20"/>
              </w:rPr>
            </w:pPr>
            <w:r w:rsidRPr="0026120F">
              <w:rPr>
                <w:snapToGrid w:val="0"/>
                <w:sz w:val="20"/>
                <w:szCs w:val="20"/>
              </w:rPr>
              <w:t>9.42</w:t>
            </w:r>
          </w:p>
        </w:tc>
        <w:tc>
          <w:tcPr>
            <w:tcW w:w="900" w:type="dxa"/>
            <w:tcBorders>
              <w:top w:val="single" w:sz="6" w:space="0" w:color="C0C0C0"/>
              <w:left w:val="single" w:sz="6" w:space="0" w:color="C0C0C0"/>
              <w:bottom w:val="single" w:sz="6" w:space="0" w:color="C0C0C0"/>
              <w:right w:val="single" w:sz="6" w:space="0" w:color="C0C0C0"/>
            </w:tcBorders>
            <w:shd w:val="solid" w:color="FFFFFF" w:fill="auto"/>
            <w:vAlign w:val="center"/>
          </w:tcPr>
          <w:p w14:paraId="3FD41EC9" w14:textId="77777777" w:rsidR="00CB64F0" w:rsidRPr="0026120F" w:rsidRDefault="00CB64F0" w:rsidP="001C39FB">
            <w:pPr>
              <w:jc w:val="center"/>
              <w:rPr>
                <w:snapToGrid w:val="0"/>
                <w:sz w:val="20"/>
                <w:szCs w:val="20"/>
              </w:rPr>
            </w:pPr>
            <w:r w:rsidRPr="0026120F">
              <w:rPr>
                <w:snapToGrid w:val="0"/>
                <w:sz w:val="20"/>
                <w:szCs w:val="20"/>
              </w:rPr>
              <w:t>0.05</w:t>
            </w:r>
          </w:p>
        </w:tc>
        <w:tc>
          <w:tcPr>
            <w:tcW w:w="990" w:type="dxa"/>
            <w:tcBorders>
              <w:top w:val="single" w:sz="6" w:space="0" w:color="C0C0C0"/>
              <w:left w:val="single" w:sz="6" w:space="0" w:color="C0C0C0"/>
              <w:bottom w:val="single" w:sz="6" w:space="0" w:color="C0C0C0"/>
              <w:right w:val="single" w:sz="6" w:space="0" w:color="C0C0C0"/>
            </w:tcBorders>
            <w:shd w:val="solid" w:color="FFFFFF" w:fill="auto"/>
            <w:vAlign w:val="center"/>
          </w:tcPr>
          <w:p w14:paraId="47ADCF46" w14:textId="77777777" w:rsidR="00CB64F0" w:rsidRPr="0026120F" w:rsidRDefault="00CB64F0" w:rsidP="001C39FB">
            <w:pPr>
              <w:jc w:val="center"/>
              <w:rPr>
                <w:snapToGrid w:val="0"/>
                <w:sz w:val="20"/>
                <w:szCs w:val="20"/>
              </w:rPr>
            </w:pPr>
            <w:r w:rsidRPr="0026120F">
              <w:rPr>
                <w:snapToGrid w:val="0"/>
                <w:sz w:val="20"/>
                <w:szCs w:val="20"/>
              </w:rPr>
              <w:t>5.67</w:t>
            </w:r>
          </w:p>
        </w:tc>
        <w:tc>
          <w:tcPr>
            <w:tcW w:w="900" w:type="dxa"/>
            <w:tcBorders>
              <w:top w:val="single" w:sz="6" w:space="0" w:color="C0C0C0"/>
              <w:left w:val="single" w:sz="6" w:space="0" w:color="C0C0C0"/>
              <w:bottom w:val="single" w:sz="6" w:space="0" w:color="C0C0C0"/>
              <w:right w:val="single" w:sz="6" w:space="0" w:color="C0C0C0"/>
            </w:tcBorders>
            <w:shd w:val="solid" w:color="FFFFFF" w:fill="auto"/>
            <w:vAlign w:val="center"/>
          </w:tcPr>
          <w:p w14:paraId="71F58A7E" w14:textId="77777777" w:rsidR="00CB64F0" w:rsidRPr="0026120F" w:rsidRDefault="00CB64F0" w:rsidP="001C39FB">
            <w:pPr>
              <w:jc w:val="center"/>
              <w:rPr>
                <w:snapToGrid w:val="0"/>
                <w:sz w:val="20"/>
                <w:szCs w:val="20"/>
              </w:rPr>
            </w:pPr>
            <w:r w:rsidRPr="0026120F">
              <w:rPr>
                <w:snapToGrid w:val="0"/>
                <w:sz w:val="20"/>
                <w:szCs w:val="20"/>
              </w:rPr>
              <w:t>5.53</w:t>
            </w:r>
          </w:p>
        </w:tc>
        <w:tc>
          <w:tcPr>
            <w:tcW w:w="842" w:type="dxa"/>
            <w:tcBorders>
              <w:top w:val="single" w:sz="6" w:space="0" w:color="C0C0C0"/>
              <w:left w:val="single" w:sz="6" w:space="0" w:color="C0C0C0"/>
              <w:bottom w:val="single" w:sz="6" w:space="0" w:color="C0C0C0"/>
              <w:right w:val="single" w:sz="6" w:space="0" w:color="C0C0C0"/>
            </w:tcBorders>
            <w:shd w:val="solid" w:color="FFFFFF" w:fill="auto"/>
            <w:vAlign w:val="center"/>
          </w:tcPr>
          <w:p w14:paraId="73CEEA59" w14:textId="77777777" w:rsidR="00CB64F0" w:rsidRPr="0026120F" w:rsidRDefault="00CB64F0" w:rsidP="001C39FB">
            <w:pPr>
              <w:jc w:val="center"/>
              <w:rPr>
                <w:snapToGrid w:val="0"/>
                <w:sz w:val="20"/>
                <w:szCs w:val="20"/>
              </w:rPr>
            </w:pPr>
            <w:r w:rsidRPr="0026120F">
              <w:rPr>
                <w:snapToGrid w:val="0"/>
                <w:sz w:val="20"/>
                <w:szCs w:val="20"/>
              </w:rPr>
              <w:t>2.50</w:t>
            </w:r>
          </w:p>
        </w:tc>
      </w:tr>
      <w:tr w:rsidR="00CB64F0" w:rsidRPr="006B638B" w14:paraId="0F357368" w14:textId="77777777" w:rsidTr="001C39FB">
        <w:trPr>
          <w:trHeight w:val="300"/>
          <w:jc w:val="center"/>
        </w:trPr>
        <w:tc>
          <w:tcPr>
            <w:tcW w:w="982" w:type="dxa"/>
            <w:tcBorders>
              <w:top w:val="single" w:sz="6" w:space="0" w:color="C0C0C0"/>
              <w:left w:val="single" w:sz="6" w:space="0" w:color="C0C0C0"/>
              <w:bottom w:val="single" w:sz="6" w:space="0" w:color="C0C0C0"/>
              <w:right w:val="single" w:sz="6" w:space="0" w:color="C0C0C0"/>
            </w:tcBorders>
            <w:shd w:val="solid" w:color="FFFFFF" w:fill="auto"/>
            <w:vAlign w:val="center"/>
          </w:tcPr>
          <w:p w14:paraId="20C5A781" w14:textId="77777777" w:rsidR="00CB64F0" w:rsidRPr="0026120F" w:rsidRDefault="00CB64F0" w:rsidP="00833E7F">
            <w:pPr>
              <w:rPr>
                <w:snapToGrid w:val="0"/>
                <w:sz w:val="20"/>
                <w:szCs w:val="20"/>
              </w:rPr>
            </w:pPr>
            <w:r w:rsidRPr="0026120F">
              <w:rPr>
                <w:snapToGrid w:val="0"/>
                <w:sz w:val="20"/>
                <w:szCs w:val="20"/>
              </w:rPr>
              <w:t>Noncredit low</w:t>
            </w:r>
          </w:p>
        </w:tc>
        <w:tc>
          <w:tcPr>
            <w:tcW w:w="990" w:type="dxa"/>
            <w:tcBorders>
              <w:top w:val="single" w:sz="6" w:space="0" w:color="C0C0C0"/>
              <w:left w:val="single" w:sz="6" w:space="0" w:color="C0C0C0"/>
              <w:bottom w:val="single" w:sz="6" w:space="0" w:color="C0C0C0"/>
              <w:right w:val="single" w:sz="6" w:space="0" w:color="C0C0C0"/>
            </w:tcBorders>
            <w:shd w:val="solid" w:color="FFFFFF" w:fill="auto"/>
            <w:vAlign w:val="center"/>
          </w:tcPr>
          <w:p w14:paraId="59B7C3E6" w14:textId="77777777" w:rsidR="00CB64F0" w:rsidRPr="0026120F" w:rsidRDefault="00CB64F0" w:rsidP="001C39FB">
            <w:pPr>
              <w:jc w:val="center"/>
              <w:rPr>
                <w:snapToGrid w:val="0"/>
                <w:sz w:val="20"/>
                <w:szCs w:val="20"/>
              </w:rPr>
            </w:pPr>
            <w:r w:rsidRPr="0026120F">
              <w:rPr>
                <w:snapToGrid w:val="0"/>
                <w:sz w:val="20"/>
                <w:szCs w:val="20"/>
              </w:rPr>
              <w:t>10.84 / 8.50</w:t>
            </w:r>
          </w:p>
        </w:tc>
        <w:tc>
          <w:tcPr>
            <w:tcW w:w="810" w:type="dxa"/>
            <w:tcBorders>
              <w:top w:val="single" w:sz="6" w:space="0" w:color="C0C0C0"/>
              <w:left w:val="single" w:sz="6" w:space="0" w:color="C0C0C0"/>
              <w:bottom w:val="single" w:sz="6" w:space="0" w:color="C0C0C0"/>
              <w:right w:val="single" w:sz="6" w:space="0" w:color="C0C0C0"/>
            </w:tcBorders>
            <w:shd w:val="solid" w:color="FFFFFF" w:fill="auto"/>
            <w:vAlign w:val="center"/>
          </w:tcPr>
          <w:p w14:paraId="79E325B1" w14:textId="77777777" w:rsidR="00CB64F0" w:rsidRPr="0026120F" w:rsidRDefault="00CB64F0" w:rsidP="001C39FB">
            <w:pPr>
              <w:jc w:val="center"/>
              <w:rPr>
                <w:snapToGrid w:val="0"/>
                <w:sz w:val="20"/>
                <w:szCs w:val="20"/>
              </w:rPr>
            </w:pPr>
            <w:r w:rsidRPr="0026120F">
              <w:rPr>
                <w:snapToGrid w:val="0"/>
                <w:sz w:val="20"/>
                <w:szCs w:val="20"/>
              </w:rPr>
              <w:t>7</w:t>
            </w:r>
          </w:p>
        </w:tc>
        <w:tc>
          <w:tcPr>
            <w:tcW w:w="270" w:type="dxa"/>
            <w:tcBorders>
              <w:top w:val="single" w:sz="6" w:space="0" w:color="C0C0C0"/>
              <w:left w:val="single" w:sz="6" w:space="0" w:color="C0C0C0"/>
              <w:bottom w:val="single" w:sz="6" w:space="0" w:color="C0C0C0"/>
              <w:right w:val="single" w:sz="6" w:space="0" w:color="C0C0C0"/>
            </w:tcBorders>
            <w:shd w:val="solid" w:color="FFFFFF" w:fill="auto"/>
            <w:vAlign w:val="center"/>
          </w:tcPr>
          <w:p w14:paraId="1A2A0106" w14:textId="77777777" w:rsidR="00CB64F0" w:rsidRPr="0026120F" w:rsidRDefault="00CB64F0" w:rsidP="001C39FB">
            <w:pPr>
              <w:jc w:val="center"/>
              <w:rPr>
                <w:snapToGrid w:val="0"/>
                <w:sz w:val="20"/>
                <w:szCs w:val="20"/>
              </w:rPr>
            </w:pPr>
            <w:r w:rsidRPr="0026120F">
              <w:rPr>
                <w:snapToGrid w:val="0"/>
                <w:sz w:val="20"/>
                <w:szCs w:val="20"/>
              </w:rPr>
              <w:t>97</w:t>
            </w:r>
          </w:p>
        </w:tc>
        <w:tc>
          <w:tcPr>
            <w:tcW w:w="900" w:type="dxa"/>
            <w:tcBorders>
              <w:top w:val="single" w:sz="6" w:space="0" w:color="C0C0C0"/>
              <w:left w:val="single" w:sz="6" w:space="0" w:color="C0C0C0"/>
              <w:bottom w:val="single" w:sz="6" w:space="0" w:color="C0C0C0"/>
              <w:right w:val="single" w:sz="6" w:space="0" w:color="C0C0C0"/>
            </w:tcBorders>
            <w:shd w:val="solid" w:color="FFFFFF" w:fill="auto"/>
            <w:vAlign w:val="center"/>
          </w:tcPr>
          <w:p w14:paraId="5875F142" w14:textId="77777777" w:rsidR="00CB64F0" w:rsidRPr="0026120F" w:rsidRDefault="00CB64F0" w:rsidP="001C39FB">
            <w:pPr>
              <w:jc w:val="center"/>
              <w:rPr>
                <w:snapToGrid w:val="0"/>
                <w:sz w:val="20"/>
                <w:szCs w:val="20"/>
              </w:rPr>
            </w:pPr>
            <w:r w:rsidRPr="0026120F">
              <w:rPr>
                <w:snapToGrid w:val="0"/>
                <w:sz w:val="20"/>
                <w:szCs w:val="20"/>
              </w:rPr>
              <w:t>18.67</w:t>
            </w:r>
          </w:p>
        </w:tc>
        <w:tc>
          <w:tcPr>
            <w:tcW w:w="990" w:type="dxa"/>
            <w:tcBorders>
              <w:top w:val="single" w:sz="6" w:space="0" w:color="C0C0C0"/>
              <w:left w:val="single" w:sz="6" w:space="0" w:color="C0C0C0"/>
              <w:bottom w:val="single" w:sz="6" w:space="0" w:color="C0C0C0"/>
              <w:right w:val="single" w:sz="6" w:space="0" w:color="C0C0C0"/>
            </w:tcBorders>
            <w:shd w:val="solid" w:color="FFFFFF" w:fill="auto"/>
            <w:vAlign w:val="center"/>
          </w:tcPr>
          <w:p w14:paraId="3FB56604" w14:textId="77777777" w:rsidR="00CB64F0" w:rsidRPr="0026120F" w:rsidRDefault="00CB64F0" w:rsidP="001C39FB">
            <w:pPr>
              <w:jc w:val="center"/>
              <w:rPr>
                <w:snapToGrid w:val="0"/>
                <w:sz w:val="20"/>
                <w:szCs w:val="20"/>
              </w:rPr>
            </w:pPr>
            <w:r w:rsidRPr="0026120F">
              <w:rPr>
                <w:snapToGrid w:val="0"/>
                <w:sz w:val="20"/>
                <w:szCs w:val="20"/>
              </w:rPr>
              <w:t>9.65</w:t>
            </w:r>
          </w:p>
        </w:tc>
        <w:tc>
          <w:tcPr>
            <w:tcW w:w="900" w:type="dxa"/>
            <w:tcBorders>
              <w:top w:val="single" w:sz="6" w:space="0" w:color="C0C0C0"/>
              <w:left w:val="single" w:sz="6" w:space="0" w:color="C0C0C0"/>
              <w:bottom w:val="single" w:sz="6" w:space="0" w:color="C0C0C0"/>
              <w:right w:val="single" w:sz="6" w:space="0" w:color="C0C0C0"/>
            </w:tcBorders>
            <w:shd w:val="solid" w:color="FFFFFF" w:fill="auto"/>
            <w:vAlign w:val="center"/>
          </w:tcPr>
          <w:p w14:paraId="2D1776A7" w14:textId="77777777" w:rsidR="00CB64F0" w:rsidRPr="0026120F" w:rsidRDefault="00CB64F0" w:rsidP="001C39FB">
            <w:pPr>
              <w:jc w:val="center"/>
              <w:rPr>
                <w:snapToGrid w:val="0"/>
                <w:sz w:val="20"/>
                <w:szCs w:val="20"/>
              </w:rPr>
            </w:pPr>
            <w:r w:rsidRPr="0026120F">
              <w:rPr>
                <w:snapToGrid w:val="0"/>
                <w:sz w:val="20"/>
                <w:szCs w:val="20"/>
              </w:rPr>
              <w:t>0.27</w:t>
            </w:r>
          </w:p>
        </w:tc>
        <w:tc>
          <w:tcPr>
            <w:tcW w:w="990" w:type="dxa"/>
            <w:tcBorders>
              <w:top w:val="single" w:sz="6" w:space="0" w:color="C0C0C0"/>
              <w:left w:val="single" w:sz="6" w:space="0" w:color="C0C0C0"/>
              <w:bottom w:val="single" w:sz="6" w:space="0" w:color="C0C0C0"/>
              <w:right w:val="single" w:sz="6" w:space="0" w:color="C0C0C0"/>
            </w:tcBorders>
            <w:shd w:val="solid" w:color="FFFFFF" w:fill="auto"/>
            <w:vAlign w:val="center"/>
          </w:tcPr>
          <w:p w14:paraId="782FBE47" w14:textId="77777777" w:rsidR="00CB64F0" w:rsidRPr="0026120F" w:rsidRDefault="00CB64F0" w:rsidP="001C39FB">
            <w:pPr>
              <w:jc w:val="center"/>
              <w:rPr>
                <w:snapToGrid w:val="0"/>
                <w:sz w:val="20"/>
                <w:szCs w:val="20"/>
              </w:rPr>
            </w:pPr>
            <w:r w:rsidRPr="0026120F">
              <w:rPr>
                <w:snapToGrid w:val="0"/>
                <w:sz w:val="20"/>
                <w:szCs w:val="20"/>
              </w:rPr>
              <w:t>6.05</w:t>
            </w:r>
          </w:p>
        </w:tc>
        <w:tc>
          <w:tcPr>
            <w:tcW w:w="900" w:type="dxa"/>
            <w:tcBorders>
              <w:top w:val="single" w:sz="6" w:space="0" w:color="C0C0C0"/>
              <w:left w:val="single" w:sz="6" w:space="0" w:color="C0C0C0"/>
              <w:bottom w:val="single" w:sz="6" w:space="0" w:color="C0C0C0"/>
              <w:right w:val="single" w:sz="6" w:space="0" w:color="C0C0C0"/>
            </w:tcBorders>
            <w:shd w:val="solid" w:color="FFFFFF" w:fill="auto"/>
            <w:vAlign w:val="center"/>
          </w:tcPr>
          <w:p w14:paraId="5AA3B349" w14:textId="77777777" w:rsidR="00CB64F0" w:rsidRPr="0026120F" w:rsidRDefault="00CB64F0" w:rsidP="001C39FB">
            <w:pPr>
              <w:jc w:val="center"/>
              <w:rPr>
                <w:snapToGrid w:val="0"/>
                <w:sz w:val="20"/>
                <w:szCs w:val="20"/>
              </w:rPr>
            </w:pPr>
            <w:r w:rsidRPr="0026120F">
              <w:rPr>
                <w:snapToGrid w:val="0"/>
                <w:sz w:val="20"/>
                <w:szCs w:val="20"/>
              </w:rPr>
              <w:t>6.75</w:t>
            </w:r>
          </w:p>
        </w:tc>
        <w:tc>
          <w:tcPr>
            <w:tcW w:w="842" w:type="dxa"/>
            <w:tcBorders>
              <w:top w:val="single" w:sz="6" w:space="0" w:color="C0C0C0"/>
              <w:left w:val="single" w:sz="6" w:space="0" w:color="C0C0C0"/>
              <w:bottom w:val="single" w:sz="6" w:space="0" w:color="C0C0C0"/>
              <w:right w:val="single" w:sz="6" w:space="0" w:color="C0C0C0"/>
            </w:tcBorders>
            <w:shd w:val="solid" w:color="FFFFFF" w:fill="auto"/>
            <w:vAlign w:val="center"/>
          </w:tcPr>
          <w:p w14:paraId="5521DD59" w14:textId="77777777" w:rsidR="00CB64F0" w:rsidRPr="0026120F" w:rsidRDefault="00CB64F0" w:rsidP="001C39FB">
            <w:pPr>
              <w:jc w:val="center"/>
              <w:rPr>
                <w:snapToGrid w:val="0"/>
                <w:sz w:val="20"/>
                <w:szCs w:val="20"/>
              </w:rPr>
            </w:pPr>
            <w:r w:rsidRPr="0026120F">
              <w:rPr>
                <w:snapToGrid w:val="0"/>
                <w:sz w:val="20"/>
                <w:szCs w:val="20"/>
              </w:rPr>
              <w:t>2.00</w:t>
            </w:r>
          </w:p>
        </w:tc>
      </w:tr>
    </w:tbl>
    <w:p w14:paraId="1099089E" w14:textId="77777777" w:rsidR="00CB64F0" w:rsidRPr="0026120F" w:rsidRDefault="00CB64F0" w:rsidP="00CB64F0">
      <w:pPr>
        <w:rPr>
          <w:sz w:val="20"/>
          <w:szCs w:val="20"/>
        </w:rPr>
      </w:pPr>
      <w:r w:rsidRPr="0026120F">
        <w:rPr>
          <w:sz w:val="20"/>
          <w:szCs w:val="20"/>
        </w:rPr>
        <w:t>* .68 represents fraction of the minute: 6 minute + .68*60 ~ 6 minutes 40 seconds</w:t>
      </w:r>
    </w:p>
    <w:p w14:paraId="59EC52D7" w14:textId="5C1A3B41" w:rsidR="00E50132" w:rsidRDefault="00E50132" w:rsidP="00795B56">
      <w:pPr>
        <w:pStyle w:val="Heading1"/>
        <w:spacing w:before="240" w:after="60"/>
      </w:pPr>
      <w:r>
        <w:t>DISCUSSION</w:t>
      </w:r>
    </w:p>
    <w:p w14:paraId="5A32D9D8" w14:textId="77777777" w:rsidR="000073B3" w:rsidRDefault="000073B3" w:rsidP="000073B3">
      <w:pPr>
        <w:pStyle w:val="Heading2"/>
      </w:pPr>
      <w:r>
        <w:t>Credit and Noncredit Usage Differences</w:t>
      </w:r>
    </w:p>
    <w:p w14:paraId="6BDC2834" w14:textId="1895C6DC" w:rsidR="00AF6168" w:rsidRDefault="00AF6168" w:rsidP="00795B56">
      <w:pPr>
        <w:rPr>
          <w:szCs w:val="22"/>
        </w:rPr>
      </w:pPr>
      <w:r w:rsidRPr="00901549">
        <w:rPr>
          <w:szCs w:val="22"/>
        </w:rPr>
        <w:t>Little research has compared the online usage and learning approach of credit and noncredit learners. What has been done tends to look at data such as course completion or course final grades (</w:t>
      </w:r>
      <w:proofErr w:type="spellStart"/>
      <w:r w:rsidRPr="00901549">
        <w:rPr>
          <w:szCs w:val="22"/>
        </w:rPr>
        <w:t>Albelbisi</w:t>
      </w:r>
      <w:proofErr w:type="spellEnd"/>
      <w:r w:rsidR="006778BA">
        <w:rPr>
          <w:szCs w:val="22"/>
        </w:rPr>
        <w:t xml:space="preserve"> et al,</w:t>
      </w:r>
      <w:r w:rsidRPr="00901549">
        <w:rPr>
          <w:szCs w:val="22"/>
        </w:rPr>
        <w:t xml:space="preserve"> 2018; </w:t>
      </w:r>
      <w:proofErr w:type="spellStart"/>
      <w:r w:rsidRPr="00901549">
        <w:rPr>
          <w:szCs w:val="22"/>
        </w:rPr>
        <w:t>Almeda</w:t>
      </w:r>
      <w:proofErr w:type="spellEnd"/>
      <w:r w:rsidR="00833E7F">
        <w:rPr>
          <w:szCs w:val="22"/>
        </w:rPr>
        <w:t xml:space="preserve"> et al.</w:t>
      </w:r>
      <w:r w:rsidRPr="00901549">
        <w:rPr>
          <w:szCs w:val="22"/>
        </w:rPr>
        <w:t xml:space="preserve">, 2018; Davis &amp; </w:t>
      </w:r>
      <w:proofErr w:type="spellStart"/>
      <w:r w:rsidRPr="00901549">
        <w:rPr>
          <w:szCs w:val="22"/>
        </w:rPr>
        <w:t>Mirick</w:t>
      </w:r>
      <w:proofErr w:type="spellEnd"/>
      <w:r w:rsidR="002E7769" w:rsidRPr="00901549">
        <w:rPr>
          <w:szCs w:val="22"/>
        </w:rPr>
        <w:t>,</w:t>
      </w:r>
      <w:r w:rsidRPr="00901549">
        <w:rPr>
          <w:szCs w:val="22"/>
        </w:rPr>
        <w:t xml:space="preserve"> 2017).  This research reports differences at a more micro-level of how the different learner types utilized the same learning objects. </w:t>
      </w:r>
      <w:r w:rsidR="002E7769" w:rsidRPr="00901549">
        <w:rPr>
          <w:szCs w:val="22"/>
        </w:rPr>
        <w:t xml:space="preserve"> </w:t>
      </w:r>
      <w:r w:rsidRPr="00901549">
        <w:rPr>
          <w:szCs w:val="22"/>
        </w:rPr>
        <w:t>In comparing credit versus noncredit statistics, we find that credit students scored higher on quizzes than noncredit, which is in line with previous research (</w:t>
      </w:r>
      <w:proofErr w:type="spellStart"/>
      <w:r w:rsidRPr="00901549">
        <w:rPr>
          <w:szCs w:val="22"/>
        </w:rPr>
        <w:t>Almeda</w:t>
      </w:r>
      <w:proofErr w:type="spellEnd"/>
      <w:r w:rsidRPr="00901549">
        <w:rPr>
          <w:szCs w:val="22"/>
        </w:rPr>
        <w:t xml:space="preserve"> et al., 2018; </w:t>
      </w:r>
      <w:proofErr w:type="spellStart"/>
      <w:r w:rsidRPr="00901549">
        <w:rPr>
          <w:szCs w:val="22"/>
        </w:rPr>
        <w:t>Kursu</w:t>
      </w:r>
      <w:r w:rsidR="009F20A9" w:rsidRPr="00901549">
        <w:rPr>
          <w:szCs w:val="22"/>
        </w:rPr>
        <w:t>n</w:t>
      </w:r>
      <w:proofErr w:type="spellEnd"/>
      <w:r w:rsidRPr="00901549">
        <w:rPr>
          <w:szCs w:val="22"/>
        </w:rPr>
        <w:t xml:space="preserve">, 2016).  This result could be partially explained by the fact that they took the quiz more times and spent longer on lessons and quizzes. </w:t>
      </w:r>
      <w:r w:rsidR="002E7769" w:rsidRPr="00901549">
        <w:rPr>
          <w:szCs w:val="22"/>
        </w:rPr>
        <w:t xml:space="preserve"> </w:t>
      </w:r>
      <w:r w:rsidRPr="00901549">
        <w:rPr>
          <w:szCs w:val="22"/>
        </w:rPr>
        <w:t>Credit students also spent more time on lessons than noncredit.  However, noncredit lear</w:t>
      </w:r>
      <w:r w:rsidRPr="00901549">
        <w:rPr>
          <w:szCs w:val="22"/>
        </w:rPr>
        <w:t>n</w:t>
      </w:r>
      <w:r w:rsidRPr="00901549">
        <w:rPr>
          <w:szCs w:val="22"/>
        </w:rPr>
        <w:t>ers spent much longer in</w:t>
      </w:r>
      <w:r w:rsidRPr="002F3D7A">
        <w:rPr>
          <w:szCs w:val="22"/>
        </w:rPr>
        <w:t xml:space="preserve"> a session (18.93 min) and more time in animation (8.37 min).  This suggests that noncredit learners may spend more time searching for personally relevant material, while credit students use the s</w:t>
      </w:r>
      <w:r>
        <w:rPr>
          <w:szCs w:val="22"/>
        </w:rPr>
        <w:t>yllabus and assignments to direct</w:t>
      </w:r>
      <w:r w:rsidRPr="002F3D7A">
        <w:rPr>
          <w:szCs w:val="22"/>
        </w:rPr>
        <w:t xml:space="preserve"> their allocation of time spent online. </w:t>
      </w:r>
      <w:r>
        <w:rPr>
          <w:szCs w:val="22"/>
        </w:rPr>
        <w:t xml:space="preserve"> Credit learners use</w:t>
      </w:r>
      <w:r w:rsidRPr="002F3D7A">
        <w:rPr>
          <w:szCs w:val="22"/>
        </w:rPr>
        <w:t xml:space="preserve"> material required for the course; noncredit learners seek personally meaningful info</w:t>
      </w:r>
      <w:r w:rsidRPr="002F3D7A">
        <w:rPr>
          <w:szCs w:val="22"/>
        </w:rPr>
        <w:t>r</w:t>
      </w:r>
      <w:r w:rsidRPr="002F3D7A">
        <w:rPr>
          <w:szCs w:val="22"/>
        </w:rPr>
        <w:t xml:space="preserve">mation. </w:t>
      </w:r>
      <w:r>
        <w:rPr>
          <w:szCs w:val="22"/>
        </w:rPr>
        <w:t xml:space="preserve"> </w:t>
      </w:r>
      <w:r w:rsidRPr="002F3D7A">
        <w:rPr>
          <w:szCs w:val="22"/>
        </w:rPr>
        <w:t>Noncredit learners</w:t>
      </w:r>
      <w:r>
        <w:rPr>
          <w:szCs w:val="22"/>
        </w:rPr>
        <w:t>’</w:t>
      </w:r>
      <w:r w:rsidRPr="002F3D7A">
        <w:rPr>
          <w:szCs w:val="22"/>
        </w:rPr>
        <w:t xml:space="preserve"> extended time on ani</w:t>
      </w:r>
      <w:r>
        <w:rPr>
          <w:szCs w:val="22"/>
        </w:rPr>
        <w:t>mation suggests they value material that explains</w:t>
      </w:r>
      <w:r w:rsidRPr="002F3D7A">
        <w:rPr>
          <w:szCs w:val="22"/>
        </w:rPr>
        <w:t xml:space="preserve"> relationships and processes of more complicated and abstract material or provides a pictoria</w:t>
      </w:r>
      <w:r>
        <w:rPr>
          <w:szCs w:val="22"/>
        </w:rPr>
        <w:t>l su</w:t>
      </w:r>
      <w:r>
        <w:rPr>
          <w:szCs w:val="22"/>
        </w:rPr>
        <w:t>m</w:t>
      </w:r>
      <w:r>
        <w:rPr>
          <w:szCs w:val="22"/>
        </w:rPr>
        <w:t>mary of material.  In considering the wide variety of PASSEL noncredit users, we suggest that no</w:t>
      </w:r>
      <w:r>
        <w:rPr>
          <w:szCs w:val="22"/>
        </w:rPr>
        <w:t>n</w:t>
      </w:r>
      <w:r>
        <w:rPr>
          <w:szCs w:val="22"/>
        </w:rPr>
        <w:lastRenderedPageBreak/>
        <w:t xml:space="preserve">credit </w:t>
      </w:r>
      <w:r w:rsidRPr="002F3D7A">
        <w:rPr>
          <w:szCs w:val="22"/>
        </w:rPr>
        <w:t>global learners gravitate towards highly graphical material</w:t>
      </w:r>
      <w:r>
        <w:rPr>
          <w:szCs w:val="22"/>
        </w:rPr>
        <w:t xml:space="preserve"> and include </w:t>
      </w:r>
      <w:r w:rsidRPr="002F3D7A">
        <w:rPr>
          <w:szCs w:val="22"/>
        </w:rPr>
        <w:t xml:space="preserve">teachers </w:t>
      </w:r>
      <w:r>
        <w:rPr>
          <w:szCs w:val="22"/>
        </w:rPr>
        <w:t xml:space="preserve">looking </w:t>
      </w:r>
      <w:r w:rsidRPr="002F3D7A">
        <w:rPr>
          <w:szCs w:val="22"/>
        </w:rPr>
        <w:t xml:space="preserve">for something to use in their classes to help explain more complex relationships and processes. </w:t>
      </w:r>
      <w:r>
        <w:rPr>
          <w:szCs w:val="22"/>
        </w:rPr>
        <w:t xml:space="preserve"> </w:t>
      </w:r>
      <w:r w:rsidRPr="002F3D7A">
        <w:rPr>
          <w:szCs w:val="22"/>
        </w:rPr>
        <w:t>The fact that neither group used th</w:t>
      </w:r>
      <w:r>
        <w:rPr>
          <w:szCs w:val="22"/>
        </w:rPr>
        <w:t xml:space="preserve">e glossary much mirrors </w:t>
      </w:r>
      <w:r w:rsidRPr="002F3D7A">
        <w:rPr>
          <w:szCs w:val="22"/>
        </w:rPr>
        <w:t xml:space="preserve">research </w:t>
      </w:r>
      <w:r>
        <w:rPr>
          <w:szCs w:val="22"/>
        </w:rPr>
        <w:t>showing that the glossaries are</w:t>
      </w:r>
      <w:r w:rsidRPr="002F3D7A">
        <w:rPr>
          <w:szCs w:val="22"/>
        </w:rPr>
        <w:t xml:space="preserve"> used co</w:t>
      </w:r>
      <w:r w:rsidRPr="002F3D7A">
        <w:rPr>
          <w:szCs w:val="22"/>
        </w:rPr>
        <w:t>n</w:t>
      </w:r>
      <w:r w:rsidRPr="002F3D7A">
        <w:rPr>
          <w:szCs w:val="22"/>
        </w:rPr>
        <w:t>siderably less than other types of materials (Nugent et al., 2017).</w:t>
      </w:r>
    </w:p>
    <w:p w14:paraId="77FF52F1" w14:textId="77777777" w:rsidR="000073B3" w:rsidRDefault="000073B3" w:rsidP="000073B3">
      <w:pPr>
        <w:pStyle w:val="Heading2"/>
      </w:pPr>
      <w:r>
        <w:t>Credit /Noncredit and High/Low Quiz Score E-Material Usage Differences</w:t>
      </w:r>
    </w:p>
    <w:p w14:paraId="191DD1BA" w14:textId="77777777" w:rsidR="002E7769" w:rsidRDefault="00AF6168" w:rsidP="00795B56">
      <w:pPr>
        <w:rPr>
          <w:szCs w:val="22"/>
        </w:rPr>
      </w:pPr>
      <w:r>
        <w:rPr>
          <w:szCs w:val="22"/>
        </w:rPr>
        <w:t>We further refined credit/noncredit differences by looking at high and low quiz scorers in each group.  The descriptive statistics clearly showed that the high credit scorers spent more time on ind</w:t>
      </w:r>
      <w:r>
        <w:rPr>
          <w:szCs w:val="22"/>
        </w:rPr>
        <w:t>i</w:t>
      </w:r>
      <w:r>
        <w:rPr>
          <w:szCs w:val="22"/>
        </w:rPr>
        <w:t>vidual lessons and quizzes than did the low scorers.  It could be logically expected that this more in-depth attention would translate into higher quiz scores and can be inferred that the motivation for understanding the material and receiving a good grade differed between the high and low scorers.  In contrast, the most striking difference for the noncredit learners was in session times, with the low scorers spending more time in a session, suggesting more browsing behavior.  The difference in time spent for high versus low scorers on a lesson and quiz for the high versus low quiz scorers was far less for noncredit than credit.  It is also interesting to note that the two noncredit clusters spent less lesson and quiz time than the noncredit users overall, suggesting that the high performers had some prior knowledge of the material and required less time to review lesson and take the quiz.  In co</w:t>
      </w:r>
      <w:r>
        <w:rPr>
          <w:szCs w:val="22"/>
        </w:rPr>
        <w:t>n</w:t>
      </w:r>
      <w:r>
        <w:rPr>
          <w:szCs w:val="22"/>
        </w:rPr>
        <w:t>trast, the low scorers, with hypothesized less background knowledge, browsed or scanned the mater</w:t>
      </w:r>
      <w:r>
        <w:rPr>
          <w:szCs w:val="22"/>
        </w:rPr>
        <w:t>i</w:t>
      </w:r>
      <w:r>
        <w:rPr>
          <w:szCs w:val="22"/>
        </w:rPr>
        <w:t>al.</w:t>
      </w:r>
    </w:p>
    <w:p w14:paraId="28038EE2" w14:textId="77777777" w:rsidR="000073B3" w:rsidRDefault="000073B3" w:rsidP="000073B3">
      <w:pPr>
        <w:pStyle w:val="Heading2"/>
      </w:pPr>
      <w:r>
        <w:t>Potential Learning Approaches in Using E-Materials—Learner Profiles</w:t>
      </w:r>
    </w:p>
    <w:p w14:paraId="2B8D446D" w14:textId="77777777" w:rsidR="00AF6168" w:rsidRDefault="00AF6168" w:rsidP="00795B56">
      <w:pPr>
        <w:rPr>
          <w:szCs w:val="22"/>
        </w:rPr>
      </w:pPr>
      <w:r>
        <w:rPr>
          <w:szCs w:val="22"/>
        </w:rPr>
        <w:t>Using results of the cluster analysis and accompanying descriptive usage statistics, we developed suggested learner profiles for the four groups (high/low quiz scorers x credit/noncredit).</w:t>
      </w:r>
    </w:p>
    <w:p w14:paraId="6586D8A5" w14:textId="77777777" w:rsidR="00AF6168" w:rsidRPr="00C75044" w:rsidRDefault="00AF6168" w:rsidP="006778BA">
      <w:pPr>
        <w:pStyle w:val="Heading3"/>
      </w:pPr>
      <w:r w:rsidRPr="00C75044">
        <w:t>Profile of high quiz scoring credit students</w:t>
      </w:r>
    </w:p>
    <w:p w14:paraId="013223FD" w14:textId="77777777" w:rsidR="00AF6168" w:rsidRDefault="00AF6168" w:rsidP="00795B56">
      <w:pPr>
        <w:rPr>
          <w:szCs w:val="22"/>
        </w:rPr>
      </w:pPr>
      <w:r w:rsidRPr="002F3D7A">
        <w:rPr>
          <w:szCs w:val="22"/>
        </w:rPr>
        <w:t>Of all four groups</w:t>
      </w:r>
      <w:r>
        <w:rPr>
          <w:szCs w:val="22"/>
        </w:rPr>
        <w:t xml:space="preserve"> this one </w:t>
      </w:r>
      <w:r w:rsidRPr="002F3D7A">
        <w:rPr>
          <w:szCs w:val="22"/>
        </w:rPr>
        <w:t xml:space="preserve">had highest quiz score (84%), spent longest time on quiz (15 min), and took the quiz more times (4).  This group also had the lowest standard deviation on the quiz score (8.76), meaning that there was relatively little difference in quiz scores </w:t>
      </w:r>
      <w:r>
        <w:rPr>
          <w:szCs w:val="22"/>
        </w:rPr>
        <w:t>among multiple attempts of each</w:t>
      </w:r>
      <w:r w:rsidRPr="002F3D7A">
        <w:rPr>
          <w:szCs w:val="22"/>
        </w:rPr>
        <w:t xml:space="preserve"> learner.  The 26 minutes</w:t>
      </w:r>
      <w:r>
        <w:rPr>
          <w:szCs w:val="22"/>
        </w:rPr>
        <w:t>’</w:t>
      </w:r>
      <w:r w:rsidRPr="002F3D7A">
        <w:rPr>
          <w:szCs w:val="22"/>
        </w:rPr>
        <w:t xml:space="preserve"> lesson usage is the highest of all four groups and higher than the est</w:t>
      </w:r>
      <w:r w:rsidRPr="002F3D7A">
        <w:rPr>
          <w:szCs w:val="22"/>
        </w:rPr>
        <w:t>i</w:t>
      </w:r>
      <w:r w:rsidRPr="002F3D7A">
        <w:rPr>
          <w:szCs w:val="22"/>
        </w:rPr>
        <w:t xml:space="preserve">mated lesson time provided by project developers (20 min).  These usage statistics and comparisons suggest that these learners are concerned with quiz scores and grades.  They recognize the value of lesson material </w:t>
      </w:r>
      <w:r>
        <w:rPr>
          <w:szCs w:val="22"/>
        </w:rPr>
        <w:t xml:space="preserve">and spend needed instructional time processing the content, </w:t>
      </w:r>
      <w:r w:rsidRPr="002F3D7A">
        <w:rPr>
          <w:szCs w:val="22"/>
        </w:rPr>
        <w:t xml:space="preserve">and </w:t>
      </w:r>
      <w:r>
        <w:rPr>
          <w:szCs w:val="22"/>
        </w:rPr>
        <w:t xml:space="preserve">they </w:t>
      </w:r>
      <w:r w:rsidRPr="002F3D7A">
        <w:rPr>
          <w:szCs w:val="22"/>
        </w:rPr>
        <w:t>tak</w:t>
      </w:r>
      <w:r>
        <w:rPr>
          <w:szCs w:val="22"/>
        </w:rPr>
        <w:t>e the</w:t>
      </w:r>
      <w:r w:rsidRPr="002F3D7A">
        <w:rPr>
          <w:szCs w:val="22"/>
        </w:rPr>
        <w:t xml:space="preserve"> quiz multiple times to achieve good score</w:t>
      </w:r>
      <w:r>
        <w:rPr>
          <w:szCs w:val="22"/>
        </w:rPr>
        <w:t>s</w:t>
      </w:r>
      <w:r w:rsidRPr="002F3D7A">
        <w:rPr>
          <w:szCs w:val="22"/>
        </w:rPr>
        <w:t>.</w:t>
      </w:r>
    </w:p>
    <w:p w14:paraId="7B9B3F8D" w14:textId="77777777" w:rsidR="00AF6168" w:rsidRPr="007006BD" w:rsidRDefault="00AF6168" w:rsidP="00795B56">
      <w:pPr>
        <w:rPr>
          <w:i/>
          <w:szCs w:val="22"/>
        </w:rPr>
      </w:pPr>
      <w:r w:rsidRPr="00AF6168">
        <w:rPr>
          <w:b/>
          <w:i/>
          <w:szCs w:val="22"/>
        </w:rPr>
        <w:t>Learning approach</w:t>
      </w:r>
      <w:r w:rsidRPr="00795B56">
        <w:rPr>
          <w:b/>
          <w:i/>
          <w:szCs w:val="22"/>
        </w:rPr>
        <w:t xml:space="preserve">:  </w:t>
      </w:r>
      <w:r>
        <w:rPr>
          <w:szCs w:val="22"/>
        </w:rPr>
        <w:t>The characteristics seen in</w:t>
      </w:r>
      <w:r w:rsidRPr="002F3D7A">
        <w:rPr>
          <w:szCs w:val="22"/>
        </w:rPr>
        <w:t xml:space="preserve"> these users </w:t>
      </w:r>
      <w:r>
        <w:rPr>
          <w:szCs w:val="22"/>
        </w:rPr>
        <w:t>are similar to what we would expect in</w:t>
      </w:r>
      <w:r w:rsidRPr="007006BD">
        <w:rPr>
          <w:i/>
          <w:szCs w:val="22"/>
        </w:rPr>
        <w:t xml:space="preserve"> deep l</w:t>
      </w:r>
      <w:r w:rsidRPr="002F3D7A">
        <w:rPr>
          <w:i/>
          <w:szCs w:val="22"/>
        </w:rPr>
        <w:t xml:space="preserve">earners </w:t>
      </w:r>
      <w:r>
        <w:rPr>
          <w:szCs w:val="22"/>
        </w:rPr>
        <w:t xml:space="preserve">due to their high quiz scores and the long time they were spending on lessons.  To recap the definition earlier, </w:t>
      </w:r>
      <w:r w:rsidRPr="007006BD">
        <w:rPr>
          <w:i/>
          <w:szCs w:val="22"/>
        </w:rPr>
        <w:t>deep learners are motivated to learn material for the sake of gaining knowledge.</w:t>
      </w:r>
    </w:p>
    <w:p w14:paraId="0DE20F98" w14:textId="77777777" w:rsidR="00AF6168" w:rsidRPr="00C75044" w:rsidRDefault="00AF6168" w:rsidP="006778BA">
      <w:pPr>
        <w:pStyle w:val="Heading3"/>
      </w:pPr>
      <w:r w:rsidRPr="00AF6168">
        <w:t>Profile of high quiz scoring noncredit students</w:t>
      </w:r>
    </w:p>
    <w:p w14:paraId="347CF38A" w14:textId="30D9EE85" w:rsidR="00AF6168" w:rsidRDefault="00AF6168" w:rsidP="00795B56">
      <w:pPr>
        <w:rPr>
          <w:i/>
          <w:szCs w:val="22"/>
        </w:rPr>
      </w:pPr>
      <w:r>
        <w:rPr>
          <w:szCs w:val="22"/>
        </w:rPr>
        <w:t xml:space="preserve">These students scored somewhat </w:t>
      </w:r>
      <w:r w:rsidR="006778BA">
        <w:rPr>
          <w:szCs w:val="22"/>
        </w:rPr>
        <w:t>lower</w:t>
      </w:r>
      <w:r>
        <w:rPr>
          <w:szCs w:val="22"/>
        </w:rPr>
        <w:t xml:space="preserve"> than the credit high performers on the quiz (78% vs. 84%) and </w:t>
      </w:r>
      <w:r w:rsidRPr="002F3D7A">
        <w:rPr>
          <w:szCs w:val="22"/>
        </w:rPr>
        <w:t xml:space="preserve">spent </w:t>
      </w:r>
      <w:r>
        <w:rPr>
          <w:szCs w:val="22"/>
        </w:rPr>
        <w:t>less time on the quiz (6 vs. 14 min</w:t>
      </w:r>
      <w:r w:rsidRPr="002F3D7A">
        <w:rPr>
          <w:szCs w:val="22"/>
        </w:rPr>
        <w:t xml:space="preserve">) and lesson (6 </w:t>
      </w:r>
      <w:r>
        <w:rPr>
          <w:szCs w:val="22"/>
        </w:rPr>
        <w:t xml:space="preserve">vs. 26 </w:t>
      </w:r>
      <w:r w:rsidRPr="002F3D7A">
        <w:rPr>
          <w:szCs w:val="22"/>
        </w:rPr>
        <w:t xml:space="preserve">min).  </w:t>
      </w:r>
      <w:r>
        <w:rPr>
          <w:szCs w:val="22"/>
        </w:rPr>
        <w:t>They also took fewer qui</w:t>
      </w:r>
      <w:r>
        <w:rPr>
          <w:szCs w:val="22"/>
        </w:rPr>
        <w:t>z</w:t>
      </w:r>
      <w:r>
        <w:rPr>
          <w:szCs w:val="22"/>
        </w:rPr>
        <w:t xml:space="preserve">zes.  </w:t>
      </w:r>
      <w:r w:rsidRPr="002F3D7A">
        <w:rPr>
          <w:szCs w:val="22"/>
        </w:rPr>
        <w:t>However, they spent mor</w:t>
      </w:r>
      <w:r>
        <w:rPr>
          <w:szCs w:val="22"/>
        </w:rPr>
        <w:t xml:space="preserve">e time in a session (14 min) </w:t>
      </w:r>
      <w:r w:rsidRPr="002F3D7A">
        <w:rPr>
          <w:szCs w:val="22"/>
        </w:rPr>
        <w:t xml:space="preserve">and animation (9 min).  Their relatively high quiz score (78%) and the fact that they took fewer quizzes than their high performing credit counterparts suggest that this group has some </w:t>
      </w:r>
      <w:r>
        <w:rPr>
          <w:szCs w:val="22"/>
        </w:rPr>
        <w:t>background knowledge that allowed</w:t>
      </w:r>
      <w:r w:rsidRPr="002F3D7A">
        <w:rPr>
          <w:szCs w:val="22"/>
        </w:rPr>
        <w:t xml:space="preserve"> them to maxi</w:t>
      </w:r>
      <w:r w:rsidRPr="002F3D7A">
        <w:rPr>
          <w:szCs w:val="22"/>
        </w:rPr>
        <w:t>m</w:t>
      </w:r>
      <w:r w:rsidRPr="002F3D7A">
        <w:rPr>
          <w:szCs w:val="22"/>
        </w:rPr>
        <w:t xml:space="preserve">ize their time to view the lesson and complete the quiz. </w:t>
      </w:r>
      <w:r>
        <w:rPr>
          <w:szCs w:val="22"/>
        </w:rPr>
        <w:t xml:space="preserve"> The long session times suggest that this group</w:t>
      </w:r>
      <w:r w:rsidRPr="002F3D7A">
        <w:rPr>
          <w:szCs w:val="22"/>
        </w:rPr>
        <w:t xml:space="preserve"> is </w:t>
      </w:r>
      <w:r>
        <w:rPr>
          <w:szCs w:val="22"/>
        </w:rPr>
        <w:t xml:space="preserve">spending time </w:t>
      </w:r>
      <w:r w:rsidRPr="002F3D7A">
        <w:rPr>
          <w:szCs w:val="22"/>
        </w:rPr>
        <w:t>seeking material applicable to their career or particular situation</w:t>
      </w:r>
      <w:r>
        <w:rPr>
          <w:szCs w:val="22"/>
        </w:rPr>
        <w:t>.  The longer use of animation implies that they value the animations’ depiction of relationships between more complex concepts and principles.</w:t>
      </w:r>
    </w:p>
    <w:p w14:paraId="3897CD40" w14:textId="77777777" w:rsidR="00AF6168" w:rsidRDefault="00AF6168" w:rsidP="00795B56">
      <w:pPr>
        <w:rPr>
          <w:i/>
          <w:szCs w:val="22"/>
          <w:u w:val="single"/>
        </w:rPr>
      </w:pPr>
      <w:r w:rsidRPr="00AF6168">
        <w:rPr>
          <w:b/>
          <w:i/>
          <w:szCs w:val="22"/>
        </w:rPr>
        <w:lastRenderedPageBreak/>
        <w:t>Learning approach</w:t>
      </w:r>
      <w:r w:rsidRPr="00795B56">
        <w:rPr>
          <w:b/>
          <w:i/>
          <w:szCs w:val="22"/>
        </w:rPr>
        <w:t>:</w:t>
      </w:r>
      <w:r w:rsidRPr="00795B56">
        <w:rPr>
          <w:i/>
          <w:szCs w:val="22"/>
        </w:rPr>
        <w:t xml:space="preserve"> </w:t>
      </w:r>
      <w:r>
        <w:rPr>
          <w:szCs w:val="22"/>
        </w:rPr>
        <w:t xml:space="preserve"> The characteristics seen in</w:t>
      </w:r>
      <w:r w:rsidRPr="002F3D7A">
        <w:rPr>
          <w:szCs w:val="22"/>
        </w:rPr>
        <w:t xml:space="preserve"> these users </w:t>
      </w:r>
      <w:r>
        <w:rPr>
          <w:szCs w:val="22"/>
        </w:rPr>
        <w:t>are similar to what we would expect in</w:t>
      </w:r>
      <w:r w:rsidRPr="007006BD">
        <w:rPr>
          <w:szCs w:val="22"/>
        </w:rPr>
        <w:t xml:space="preserve"> </w:t>
      </w:r>
      <w:r w:rsidRPr="007006BD">
        <w:rPr>
          <w:i/>
          <w:szCs w:val="22"/>
        </w:rPr>
        <w:t>strategic learners</w:t>
      </w:r>
      <w:r w:rsidRPr="002F3D7A">
        <w:rPr>
          <w:i/>
          <w:szCs w:val="22"/>
        </w:rPr>
        <w:t xml:space="preserve"> </w:t>
      </w:r>
      <w:r>
        <w:rPr>
          <w:szCs w:val="22"/>
        </w:rPr>
        <w:t xml:space="preserve">as they appeared to select only those materials relevant to them personally or for their careers, rather than spending extended amounts of time on the lesson material as we would expect in a </w:t>
      </w:r>
      <w:r w:rsidRPr="007006BD">
        <w:rPr>
          <w:i/>
          <w:szCs w:val="22"/>
        </w:rPr>
        <w:t>deep learner</w:t>
      </w:r>
      <w:r w:rsidRPr="007006BD">
        <w:rPr>
          <w:szCs w:val="22"/>
        </w:rPr>
        <w:t xml:space="preserve"> </w:t>
      </w:r>
      <w:r>
        <w:rPr>
          <w:szCs w:val="22"/>
        </w:rPr>
        <w:t xml:space="preserve">approach. </w:t>
      </w:r>
    </w:p>
    <w:p w14:paraId="32A9DB1B" w14:textId="77777777" w:rsidR="00C75044" w:rsidRPr="00C75044" w:rsidRDefault="00AF6168" w:rsidP="0069177F">
      <w:pPr>
        <w:pStyle w:val="Heading3"/>
      </w:pPr>
      <w:r w:rsidRPr="00C75044">
        <w:t>Profile of low quiz scoring credit students</w:t>
      </w:r>
    </w:p>
    <w:p w14:paraId="39475FE5" w14:textId="77777777" w:rsidR="00AF6168" w:rsidRDefault="00AF6168" w:rsidP="00795B56">
      <w:pPr>
        <w:rPr>
          <w:szCs w:val="22"/>
        </w:rPr>
      </w:pPr>
      <w:r w:rsidRPr="002F3D7A">
        <w:rPr>
          <w:szCs w:val="22"/>
        </w:rPr>
        <w:t>This student group had a very low average quiz score (10%).  They spent the shortest time in a se</w:t>
      </w:r>
      <w:r w:rsidRPr="002F3D7A">
        <w:rPr>
          <w:szCs w:val="22"/>
        </w:rPr>
        <w:t>s</w:t>
      </w:r>
      <w:r w:rsidRPr="002F3D7A">
        <w:rPr>
          <w:szCs w:val="22"/>
        </w:rPr>
        <w:t xml:space="preserve">sion (5 min) of </w:t>
      </w:r>
      <w:r>
        <w:rPr>
          <w:szCs w:val="22"/>
        </w:rPr>
        <w:t>the four selected</w:t>
      </w:r>
      <w:r w:rsidRPr="002F3D7A">
        <w:rPr>
          <w:szCs w:val="22"/>
        </w:rPr>
        <w:t xml:space="preserve"> groups, little time on animation (4 min)</w:t>
      </w:r>
      <w:r>
        <w:rPr>
          <w:szCs w:val="22"/>
        </w:rPr>
        <w:t>,</w:t>
      </w:r>
      <w:r w:rsidRPr="002F3D7A">
        <w:rPr>
          <w:szCs w:val="22"/>
        </w:rPr>
        <w:t xml:space="preserve"> and </w:t>
      </w:r>
      <w:r>
        <w:rPr>
          <w:szCs w:val="22"/>
        </w:rPr>
        <w:t>very short time on quiz</w:t>
      </w:r>
      <w:r w:rsidRPr="002F3D7A">
        <w:rPr>
          <w:szCs w:val="22"/>
        </w:rPr>
        <w:t xml:space="preserve"> (3 min).  The</w:t>
      </w:r>
      <w:r>
        <w:rPr>
          <w:szCs w:val="22"/>
        </w:rPr>
        <w:t>y</w:t>
      </w:r>
      <w:r w:rsidRPr="002F3D7A">
        <w:rPr>
          <w:szCs w:val="22"/>
        </w:rPr>
        <w:t xml:space="preserve"> typically took the quiz only once.  However, they spent a reasonable amount of time on the lesson (15 min).</w:t>
      </w:r>
    </w:p>
    <w:p w14:paraId="023699CE" w14:textId="77777777" w:rsidR="00AF6168" w:rsidRDefault="00AF6168" w:rsidP="00795B56">
      <w:pPr>
        <w:rPr>
          <w:i/>
          <w:szCs w:val="22"/>
        </w:rPr>
      </w:pPr>
      <w:r w:rsidRPr="002F3D7A">
        <w:rPr>
          <w:szCs w:val="22"/>
        </w:rPr>
        <w:t xml:space="preserve">The usage statistics suggest that </w:t>
      </w:r>
      <w:r>
        <w:rPr>
          <w:szCs w:val="22"/>
        </w:rPr>
        <w:t>these learners</w:t>
      </w:r>
      <w:r w:rsidRPr="002F3D7A">
        <w:rPr>
          <w:szCs w:val="22"/>
        </w:rPr>
        <w:t xml:space="preserve"> focus on particular lesson material and spend a re</w:t>
      </w:r>
      <w:r w:rsidRPr="002F3D7A">
        <w:rPr>
          <w:szCs w:val="22"/>
        </w:rPr>
        <w:t>a</w:t>
      </w:r>
      <w:r w:rsidRPr="002F3D7A">
        <w:rPr>
          <w:szCs w:val="22"/>
        </w:rPr>
        <w:t>sona</w:t>
      </w:r>
      <w:r>
        <w:rPr>
          <w:szCs w:val="22"/>
        </w:rPr>
        <w:t xml:space="preserve">ble amount of time </w:t>
      </w:r>
      <w:r w:rsidRPr="002F3D7A">
        <w:rPr>
          <w:szCs w:val="22"/>
        </w:rPr>
        <w:t>processing</w:t>
      </w:r>
      <w:r>
        <w:rPr>
          <w:szCs w:val="22"/>
        </w:rPr>
        <w:t xml:space="preserve"> the content</w:t>
      </w:r>
      <w:r w:rsidRPr="002F3D7A">
        <w:rPr>
          <w:szCs w:val="22"/>
        </w:rPr>
        <w:t xml:space="preserve">.  They have little concern for a grade (as evidenced by little time on quiz and not re-taking quiz even with the low score).  We characterize these learners as ones who will attend to particular </w:t>
      </w:r>
      <w:r>
        <w:rPr>
          <w:szCs w:val="22"/>
        </w:rPr>
        <w:t xml:space="preserve">relevant </w:t>
      </w:r>
      <w:r w:rsidRPr="002F3D7A">
        <w:rPr>
          <w:szCs w:val="22"/>
        </w:rPr>
        <w:t xml:space="preserve">lesson material.  </w:t>
      </w:r>
    </w:p>
    <w:p w14:paraId="03B71D80" w14:textId="72DA6DC7" w:rsidR="00AF6168" w:rsidRDefault="00AF6168" w:rsidP="00795B56">
      <w:pPr>
        <w:rPr>
          <w:szCs w:val="22"/>
        </w:rPr>
      </w:pPr>
      <w:r w:rsidRPr="00C75044">
        <w:rPr>
          <w:b/>
          <w:szCs w:val="22"/>
        </w:rPr>
        <w:t>Learning approach</w:t>
      </w:r>
      <w:r w:rsidR="000B4059">
        <w:rPr>
          <w:b/>
          <w:szCs w:val="22"/>
        </w:rPr>
        <w:t xml:space="preserve">: </w:t>
      </w:r>
      <w:r>
        <w:rPr>
          <w:szCs w:val="22"/>
        </w:rPr>
        <w:t>The characteristics seen in</w:t>
      </w:r>
      <w:r w:rsidRPr="002F3D7A">
        <w:rPr>
          <w:szCs w:val="22"/>
        </w:rPr>
        <w:t xml:space="preserve"> these users </w:t>
      </w:r>
      <w:r>
        <w:rPr>
          <w:szCs w:val="22"/>
        </w:rPr>
        <w:t xml:space="preserve">are </w:t>
      </w:r>
      <w:r w:rsidR="0069177F">
        <w:rPr>
          <w:szCs w:val="22"/>
        </w:rPr>
        <w:t>perplexing but</w:t>
      </w:r>
      <w:r>
        <w:rPr>
          <w:szCs w:val="22"/>
        </w:rPr>
        <w:t xml:space="preserve"> seem to best align with that of </w:t>
      </w:r>
      <w:r w:rsidRPr="007006BD">
        <w:rPr>
          <w:i/>
          <w:szCs w:val="22"/>
        </w:rPr>
        <w:t xml:space="preserve">strategic learners </w:t>
      </w:r>
      <w:r>
        <w:rPr>
          <w:szCs w:val="22"/>
        </w:rPr>
        <w:t xml:space="preserve">because they spend a good amount of time in the lesson material.  It may be </w:t>
      </w:r>
      <w:r w:rsidR="009707B0">
        <w:rPr>
          <w:szCs w:val="22"/>
        </w:rPr>
        <w:t xml:space="preserve">that, </w:t>
      </w:r>
      <w:r>
        <w:rPr>
          <w:szCs w:val="22"/>
        </w:rPr>
        <w:t>for this group</w:t>
      </w:r>
      <w:r w:rsidR="009707B0">
        <w:rPr>
          <w:szCs w:val="22"/>
        </w:rPr>
        <w:t>,</w:t>
      </w:r>
      <w:r>
        <w:rPr>
          <w:szCs w:val="22"/>
        </w:rPr>
        <w:t xml:space="preserve"> the quiz did not directly account for a grade received in the academic course grade.</w:t>
      </w:r>
    </w:p>
    <w:p w14:paraId="22F36AAE" w14:textId="77777777" w:rsidR="00C75044" w:rsidRPr="00C75044" w:rsidRDefault="00AF6168" w:rsidP="0069177F">
      <w:pPr>
        <w:pStyle w:val="Heading3"/>
        <w:rPr>
          <w:szCs w:val="22"/>
        </w:rPr>
      </w:pPr>
      <w:r w:rsidRPr="00C75044">
        <w:t>Profile of low quiz scoring non-credit students</w:t>
      </w:r>
    </w:p>
    <w:p w14:paraId="6F506200" w14:textId="77777777" w:rsidR="00AF6168" w:rsidRPr="00901549" w:rsidRDefault="00AF6168" w:rsidP="00795B56">
      <w:pPr>
        <w:rPr>
          <w:szCs w:val="22"/>
        </w:rPr>
      </w:pPr>
      <w:r w:rsidRPr="002F3D7A">
        <w:rPr>
          <w:szCs w:val="22"/>
        </w:rPr>
        <w:t xml:space="preserve">The low performing non-credit students were similar to their credit counterparts in that they had very low quiz scores (11%).  </w:t>
      </w:r>
      <w:r>
        <w:rPr>
          <w:szCs w:val="22"/>
        </w:rPr>
        <w:t>Of the four cluster groups, they</w:t>
      </w:r>
      <w:r w:rsidRPr="002F3D7A">
        <w:rPr>
          <w:szCs w:val="22"/>
        </w:rPr>
        <w:t xml:space="preserve"> spent the longest</w:t>
      </w:r>
      <w:r>
        <w:rPr>
          <w:szCs w:val="22"/>
        </w:rPr>
        <w:t xml:space="preserve"> time in a s</w:t>
      </w:r>
      <w:r w:rsidRPr="002F3D7A">
        <w:rPr>
          <w:szCs w:val="22"/>
        </w:rPr>
        <w:t xml:space="preserve">ession (19 min) and animation (10 min). </w:t>
      </w:r>
      <w:r>
        <w:rPr>
          <w:szCs w:val="22"/>
        </w:rPr>
        <w:t xml:space="preserve"> </w:t>
      </w:r>
      <w:r w:rsidRPr="002F3D7A">
        <w:rPr>
          <w:szCs w:val="22"/>
        </w:rPr>
        <w:t xml:space="preserve">Their relatively short time on a lesson (6 min) was basically </w:t>
      </w:r>
      <w:r>
        <w:rPr>
          <w:szCs w:val="22"/>
        </w:rPr>
        <w:t xml:space="preserve">the </w:t>
      </w:r>
      <w:r w:rsidRPr="002F3D7A">
        <w:rPr>
          <w:szCs w:val="22"/>
        </w:rPr>
        <w:t xml:space="preserve">same as </w:t>
      </w:r>
      <w:r>
        <w:rPr>
          <w:szCs w:val="22"/>
        </w:rPr>
        <w:t xml:space="preserve">a </w:t>
      </w:r>
      <w:r w:rsidRPr="002F3D7A">
        <w:rPr>
          <w:szCs w:val="22"/>
        </w:rPr>
        <w:t xml:space="preserve">high </w:t>
      </w:r>
      <w:r>
        <w:rPr>
          <w:szCs w:val="22"/>
        </w:rPr>
        <w:t>scoring</w:t>
      </w:r>
      <w:r w:rsidRPr="002F3D7A">
        <w:rPr>
          <w:szCs w:val="22"/>
        </w:rPr>
        <w:t xml:space="preserve"> noncredit</w:t>
      </w:r>
      <w:r>
        <w:rPr>
          <w:szCs w:val="22"/>
        </w:rPr>
        <w:t xml:space="preserve"> student</w:t>
      </w:r>
      <w:r w:rsidRPr="002F3D7A">
        <w:rPr>
          <w:szCs w:val="22"/>
        </w:rPr>
        <w:t xml:space="preserve">, providing additional evidence that the high </w:t>
      </w:r>
      <w:r>
        <w:rPr>
          <w:szCs w:val="22"/>
        </w:rPr>
        <w:t xml:space="preserve">scoring </w:t>
      </w:r>
      <w:r w:rsidRPr="002F3D7A">
        <w:rPr>
          <w:szCs w:val="22"/>
        </w:rPr>
        <w:t xml:space="preserve">noncredit </w:t>
      </w:r>
      <w:r>
        <w:rPr>
          <w:szCs w:val="22"/>
        </w:rPr>
        <w:t>learners</w:t>
      </w:r>
      <w:r w:rsidRPr="002F3D7A">
        <w:rPr>
          <w:szCs w:val="22"/>
        </w:rPr>
        <w:t xml:space="preserve"> had some background knowledge. </w:t>
      </w:r>
      <w:r>
        <w:rPr>
          <w:szCs w:val="22"/>
        </w:rPr>
        <w:t xml:space="preserve"> It is interesting that t</w:t>
      </w:r>
      <w:r w:rsidRPr="002F3D7A">
        <w:rPr>
          <w:szCs w:val="22"/>
        </w:rPr>
        <w:t xml:space="preserve">he noncredit low </w:t>
      </w:r>
      <w:r>
        <w:rPr>
          <w:szCs w:val="22"/>
        </w:rPr>
        <w:t>scorers</w:t>
      </w:r>
      <w:r w:rsidRPr="002F3D7A">
        <w:rPr>
          <w:szCs w:val="22"/>
        </w:rPr>
        <w:t xml:space="preserve"> spent more time on the quiz </w:t>
      </w:r>
      <w:r>
        <w:rPr>
          <w:szCs w:val="22"/>
        </w:rPr>
        <w:t xml:space="preserve">(7 min) </w:t>
      </w:r>
      <w:r w:rsidRPr="002F3D7A">
        <w:rPr>
          <w:szCs w:val="22"/>
        </w:rPr>
        <w:t>than</w:t>
      </w:r>
      <w:r w:rsidR="009707B0">
        <w:rPr>
          <w:szCs w:val="22"/>
        </w:rPr>
        <w:t xml:space="preserve"> on</w:t>
      </w:r>
      <w:r w:rsidRPr="002F3D7A">
        <w:rPr>
          <w:szCs w:val="22"/>
        </w:rPr>
        <w:t xml:space="preserve"> the lesson.  This suggests that, in contrast to their </w:t>
      </w:r>
      <w:r>
        <w:rPr>
          <w:szCs w:val="22"/>
        </w:rPr>
        <w:t xml:space="preserve">low scoring </w:t>
      </w:r>
      <w:r w:rsidRPr="002F3D7A">
        <w:rPr>
          <w:szCs w:val="22"/>
        </w:rPr>
        <w:t xml:space="preserve">credit counterparts, they had some motivation to assess and increase knowledge and were perhaps </w:t>
      </w:r>
      <w:r>
        <w:rPr>
          <w:szCs w:val="22"/>
        </w:rPr>
        <w:t xml:space="preserve">hoping to score high enough to meet any grade requirements.  It is also possible that they were </w:t>
      </w:r>
      <w:r w:rsidRPr="002F3D7A">
        <w:rPr>
          <w:szCs w:val="22"/>
        </w:rPr>
        <w:t>seeking to use the quiz as a learning vehicle, valuing the feedback it provided</w:t>
      </w:r>
      <w:r>
        <w:rPr>
          <w:szCs w:val="22"/>
        </w:rPr>
        <w:t xml:space="preserve">, </w:t>
      </w:r>
      <w:r w:rsidRPr="00901549">
        <w:rPr>
          <w:szCs w:val="22"/>
        </w:rPr>
        <w:t xml:space="preserve">or for review, as suggested by </w:t>
      </w:r>
      <w:proofErr w:type="spellStart"/>
      <w:r w:rsidRPr="00901549">
        <w:rPr>
          <w:szCs w:val="22"/>
        </w:rPr>
        <w:t>Speth</w:t>
      </w:r>
      <w:proofErr w:type="spellEnd"/>
      <w:r w:rsidR="001C18A7" w:rsidRPr="00901549">
        <w:rPr>
          <w:szCs w:val="22"/>
        </w:rPr>
        <w:t xml:space="preserve"> et al.</w:t>
      </w:r>
      <w:r w:rsidRPr="00901549">
        <w:rPr>
          <w:szCs w:val="22"/>
        </w:rPr>
        <w:t xml:space="preserve"> (2007).</w:t>
      </w:r>
    </w:p>
    <w:p w14:paraId="79CC91EB" w14:textId="77777777" w:rsidR="00AF6168" w:rsidRPr="00901549" w:rsidRDefault="00AF6168" w:rsidP="00795B56">
      <w:pPr>
        <w:rPr>
          <w:szCs w:val="22"/>
        </w:rPr>
      </w:pPr>
      <w:r w:rsidRPr="00901549">
        <w:rPr>
          <w:szCs w:val="22"/>
        </w:rPr>
        <w:t>Usage results suggest that these students lack content background knowledge and spend considerable time looking for relevant material, using surfing strategies.  They may also be seeking alternative av</w:t>
      </w:r>
      <w:r w:rsidRPr="00901549">
        <w:rPr>
          <w:szCs w:val="22"/>
        </w:rPr>
        <w:t>e</w:t>
      </w:r>
      <w:r w:rsidRPr="00901549">
        <w:rPr>
          <w:szCs w:val="22"/>
        </w:rPr>
        <w:t>nues to learn content material such as animations (to more quickly grasp more complex relationships and processes) and quizzes (as a learning vehicle).</w:t>
      </w:r>
    </w:p>
    <w:p w14:paraId="3806ECF7" w14:textId="77777777" w:rsidR="00FE59AD" w:rsidRPr="00901549" w:rsidRDefault="00AF6168" w:rsidP="00795B56">
      <w:pPr>
        <w:rPr>
          <w:szCs w:val="22"/>
        </w:rPr>
      </w:pPr>
      <w:r w:rsidRPr="00E35686">
        <w:rPr>
          <w:b/>
          <w:szCs w:val="22"/>
        </w:rPr>
        <w:t>Learning approach</w:t>
      </w:r>
      <w:r w:rsidR="000B4059" w:rsidRPr="00E35686">
        <w:rPr>
          <w:szCs w:val="22"/>
        </w:rPr>
        <w:t>:</w:t>
      </w:r>
      <w:r w:rsidR="00C75044" w:rsidRPr="00901549">
        <w:rPr>
          <w:i/>
          <w:szCs w:val="22"/>
        </w:rPr>
        <w:t xml:space="preserve"> </w:t>
      </w:r>
      <w:r w:rsidRPr="00901549">
        <w:rPr>
          <w:szCs w:val="22"/>
        </w:rPr>
        <w:t xml:space="preserve">The characteristics seen in these users are similar to what we would expect in </w:t>
      </w:r>
      <w:r w:rsidRPr="00901549">
        <w:rPr>
          <w:i/>
          <w:szCs w:val="22"/>
        </w:rPr>
        <w:t xml:space="preserve">surface learners </w:t>
      </w:r>
      <w:r w:rsidRPr="00901549">
        <w:rPr>
          <w:szCs w:val="22"/>
        </w:rPr>
        <w:t xml:space="preserve">due to shorter time spent on lessons.  The longer time in a session would suggest they are bouncing around the site without finding answers because their quiz scores are low.  </w:t>
      </w:r>
    </w:p>
    <w:p w14:paraId="7CBD9EA9" w14:textId="77777777" w:rsidR="00066FFB" w:rsidRPr="00901549" w:rsidRDefault="00066FFB" w:rsidP="00066FFB">
      <w:pPr>
        <w:pStyle w:val="Heading2"/>
      </w:pPr>
      <w:r w:rsidRPr="00901549">
        <w:t>Conclusions and Future Work</w:t>
      </w:r>
    </w:p>
    <w:p w14:paraId="117CBEEC" w14:textId="62771593" w:rsidR="00C75044" w:rsidRPr="002F3D7A" w:rsidRDefault="00C75044" w:rsidP="00795B56">
      <w:pPr>
        <w:rPr>
          <w:szCs w:val="22"/>
        </w:rPr>
      </w:pPr>
      <w:r w:rsidRPr="00901549">
        <w:rPr>
          <w:szCs w:val="22"/>
        </w:rPr>
        <w:t>This research is unique in its use of objective, web-tracking data and its novel use of cluste</w:t>
      </w:r>
      <w:r>
        <w:rPr>
          <w:szCs w:val="22"/>
        </w:rPr>
        <w:t>ring and descriptive analytic approaches to compare credit and noncredit learners’ online behavior of the same educational materials.  It is also one of the first to begin to identify learning approaches of noncredit learners.  Our research adds to the research literature on learning approaches (</w:t>
      </w:r>
      <w:proofErr w:type="spellStart"/>
      <w:r>
        <w:rPr>
          <w:noProof/>
          <w:szCs w:val="22"/>
        </w:rPr>
        <w:t>Akçapınar</w:t>
      </w:r>
      <w:proofErr w:type="spellEnd"/>
      <w:r>
        <w:rPr>
          <w:noProof/>
          <w:szCs w:val="22"/>
        </w:rPr>
        <w:t xml:space="preserve">, 2016; </w:t>
      </w:r>
      <w:proofErr w:type="spellStart"/>
      <w:r>
        <w:rPr>
          <w:szCs w:val="22"/>
        </w:rPr>
        <w:t>Speth</w:t>
      </w:r>
      <w:proofErr w:type="spellEnd"/>
      <w:r w:rsidR="00E35686">
        <w:rPr>
          <w:szCs w:val="22"/>
        </w:rPr>
        <w:t xml:space="preserve"> et al</w:t>
      </w:r>
      <w:r>
        <w:rPr>
          <w:szCs w:val="22"/>
        </w:rPr>
        <w:t xml:space="preserve">, 2007).  Most learning approaches instruments are geared to credit learners.  For example, the </w:t>
      </w:r>
      <w:r w:rsidRPr="00354CD0">
        <w:rPr>
          <w:i/>
          <w:szCs w:val="22"/>
        </w:rPr>
        <w:t xml:space="preserve">Approaches and </w:t>
      </w:r>
      <w:r>
        <w:rPr>
          <w:i/>
          <w:szCs w:val="22"/>
        </w:rPr>
        <w:t>S</w:t>
      </w:r>
      <w:r w:rsidRPr="00354CD0">
        <w:rPr>
          <w:i/>
          <w:szCs w:val="22"/>
        </w:rPr>
        <w:t xml:space="preserve">tudy </w:t>
      </w:r>
      <w:r>
        <w:rPr>
          <w:i/>
          <w:szCs w:val="22"/>
        </w:rPr>
        <w:t>S</w:t>
      </w:r>
      <w:r w:rsidRPr="00354CD0">
        <w:rPr>
          <w:i/>
          <w:szCs w:val="22"/>
        </w:rPr>
        <w:t xml:space="preserve">kills </w:t>
      </w:r>
      <w:r>
        <w:rPr>
          <w:i/>
          <w:szCs w:val="22"/>
        </w:rPr>
        <w:t>I</w:t>
      </w:r>
      <w:r w:rsidRPr="00354CD0">
        <w:rPr>
          <w:i/>
          <w:szCs w:val="22"/>
        </w:rPr>
        <w:t xml:space="preserve">nventory for </w:t>
      </w:r>
      <w:r>
        <w:rPr>
          <w:i/>
          <w:szCs w:val="22"/>
        </w:rPr>
        <w:t>S</w:t>
      </w:r>
      <w:r w:rsidRPr="00354CD0">
        <w:rPr>
          <w:i/>
          <w:szCs w:val="22"/>
        </w:rPr>
        <w:t>tudents</w:t>
      </w:r>
      <w:r>
        <w:rPr>
          <w:szCs w:val="22"/>
        </w:rPr>
        <w:t xml:space="preserve"> (ASSIST</w:t>
      </w:r>
      <w:r w:rsidR="00E35686">
        <w:rPr>
          <w:szCs w:val="22"/>
        </w:rPr>
        <w:t>)</w:t>
      </w:r>
      <w:r w:rsidR="00671F83">
        <w:rPr>
          <w:szCs w:val="22"/>
        </w:rPr>
        <w:t xml:space="preserve"> </w:t>
      </w:r>
      <w:r w:rsidR="00E35686">
        <w:rPr>
          <w:szCs w:val="22"/>
        </w:rPr>
        <w:t>(</w:t>
      </w:r>
      <w:r>
        <w:rPr>
          <w:szCs w:val="22"/>
        </w:rPr>
        <w:t xml:space="preserve">ETL Project, </w:t>
      </w:r>
      <w:proofErr w:type="spellStart"/>
      <w:r>
        <w:rPr>
          <w:szCs w:val="22"/>
        </w:rPr>
        <w:t>n.d.</w:t>
      </w:r>
      <w:proofErr w:type="spellEnd"/>
      <w:r>
        <w:rPr>
          <w:szCs w:val="22"/>
        </w:rPr>
        <w:t>) uses la</w:t>
      </w:r>
      <w:r>
        <w:rPr>
          <w:szCs w:val="22"/>
        </w:rPr>
        <w:t>n</w:t>
      </w:r>
      <w:r>
        <w:rPr>
          <w:szCs w:val="22"/>
        </w:rPr>
        <w:t xml:space="preserve">guage such as </w:t>
      </w:r>
      <w:r w:rsidRPr="007006BD">
        <w:rPr>
          <w:i/>
          <w:szCs w:val="22"/>
        </w:rPr>
        <w:t>schoolwork</w:t>
      </w:r>
      <w:r>
        <w:rPr>
          <w:szCs w:val="22"/>
        </w:rPr>
        <w:t xml:space="preserve">, and the </w:t>
      </w:r>
      <w:r w:rsidRPr="00354CD0">
        <w:rPr>
          <w:i/>
          <w:szCs w:val="22"/>
        </w:rPr>
        <w:t>Study Process Questionnaire</w:t>
      </w:r>
      <w:r>
        <w:rPr>
          <w:szCs w:val="22"/>
        </w:rPr>
        <w:t xml:space="preserve"> (SPQ</w:t>
      </w:r>
      <w:r w:rsidR="00E35686">
        <w:rPr>
          <w:szCs w:val="22"/>
        </w:rPr>
        <w:t>)</w:t>
      </w:r>
      <w:r>
        <w:rPr>
          <w:szCs w:val="22"/>
        </w:rPr>
        <w:t xml:space="preserve"> </w:t>
      </w:r>
      <w:r w:rsidR="00E35686">
        <w:rPr>
          <w:szCs w:val="22"/>
        </w:rPr>
        <w:t>(</w:t>
      </w:r>
      <w:r>
        <w:rPr>
          <w:szCs w:val="22"/>
        </w:rPr>
        <w:t xml:space="preserve">Biggs, </w:t>
      </w:r>
      <w:proofErr w:type="spellStart"/>
      <w:r>
        <w:rPr>
          <w:szCs w:val="22"/>
        </w:rPr>
        <w:t>Kember</w:t>
      </w:r>
      <w:proofErr w:type="spellEnd"/>
      <w:r>
        <w:rPr>
          <w:szCs w:val="22"/>
        </w:rPr>
        <w:t>, &amp; Leung, 2001) makes reference to passing exams and assessments.  By using behavioral as opposed to self-report data, we found that students appear to approach learning in various ways, with d</w:t>
      </w:r>
      <w:r w:rsidRPr="002F3D7A">
        <w:rPr>
          <w:szCs w:val="22"/>
        </w:rPr>
        <w:t xml:space="preserve">istinct differences </w:t>
      </w:r>
      <w:r w:rsidR="00297BDE">
        <w:rPr>
          <w:szCs w:val="22"/>
        </w:rPr>
        <w:t>between</w:t>
      </w:r>
      <w:r w:rsidRPr="002F3D7A">
        <w:rPr>
          <w:szCs w:val="22"/>
        </w:rPr>
        <w:t xml:space="preserve"> credit and noncredit learners</w:t>
      </w:r>
      <w:r>
        <w:rPr>
          <w:szCs w:val="22"/>
        </w:rPr>
        <w:t>.</w:t>
      </w:r>
      <w:r w:rsidRPr="002F3D7A">
        <w:rPr>
          <w:szCs w:val="22"/>
        </w:rPr>
        <w:t xml:space="preserve">  </w:t>
      </w:r>
      <w:r>
        <w:rPr>
          <w:szCs w:val="22"/>
        </w:rPr>
        <w:t xml:space="preserve">Use of behavioral web-tracking data, which logs student </w:t>
      </w:r>
      <w:r>
        <w:rPr>
          <w:szCs w:val="22"/>
        </w:rPr>
        <w:lastRenderedPageBreak/>
        <w:t>learning processes, has major advantages over self-report.  However, comparing clustering approach profile designations with self-report data would provide more validation of results.</w:t>
      </w:r>
    </w:p>
    <w:p w14:paraId="79B50B38" w14:textId="0D83A17D" w:rsidR="00C75044" w:rsidRDefault="00C75044" w:rsidP="00795B56">
      <w:pPr>
        <w:rPr>
          <w:szCs w:val="22"/>
        </w:rPr>
      </w:pPr>
      <w:r w:rsidRPr="00705F30">
        <w:rPr>
          <w:szCs w:val="22"/>
        </w:rPr>
        <w:t>Another limitation is that d</w:t>
      </w:r>
      <w:r w:rsidRPr="009205BA">
        <w:rPr>
          <w:szCs w:val="22"/>
        </w:rPr>
        <w:t xml:space="preserve">emographic data is not available to know the background or prior knowledge of any PASSEL participant, credit or noncredit. </w:t>
      </w:r>
      <w:r w:rsidRPr="00705F30">
        <w:rPr>
          <w:szCs w:val="22"/>
        </w:rPr>
        <w:t xml:space="preserve"> Clearly future research using web</w:t>
      </w:r>
      <w:r>
        <w:rPr>
          <w:szCs w:val="22"/>
        </w:rPr>
        <w:t>-</w:t>
      </w:r>
      <w:r w:rsidRPr="00705F30">
        <w:rPr>
          <w:szCs w:val="22"/>
        </w:rPr>
        <w:t xml:space="preserve">tracking data could benefit from more understanding of the learners themselves, including basic demographic data such as age, gender, school classification, as well as their reason for seeking out such online material. </w:t>
      </w:r>
      <w:r>
        <w:rPr>
          <w:szCs w:val="22"/>
        </w:rPr>
        <w:t xml:space="preserve"> </w:t>
      </w:r>
      <w:r w:rsidRPr="00705F30">
        <w:rPr>
          <w:szCs w:val="22"/>
        </w:rPr>
        <w:t xml:space="preserve">While existing research with credit students </w:t>
      </w:r>
      <w:r>
        <w:rPr>
          <w:szCs w:val="22"/>
        </w:rPr>
        <w:t xml:space="preserve">typically </w:t>
      </w:r>
      <w:r w:rsidRPr="00705F30">
        <w:rPr>
          <w:szCs w:val="22"/>
        </w:rPr>
        <w:t xml:space="preserve">includes some of this critical information, the same is not </w:t>
      </w:r>
      <w:r>
        <w:rPr>
          <w:szCs w:val="22"/>
        </w:rPr>
        <w:t xml:space="preserve">necessarily </w:t>
      </w:r>
      <w:r w:rsidRPr="00705F30">
        <w:rPr>
          <w:szCs w:val="22"/>
        </w:rPr>
        <w:t>true for noncredit students, who vary widely in their motivations, background knowledge</w:t>
      </w:r>
      <w:r w:rsidR="00E35686">
        <w:rPr>
          <w:szCs w:val="22"/>
        </w:rPr>
        <w:t>,</w:t>
      </w:r>
      <w:r w:rsidRPr="00705F30">
        <w:rPr>
          <w:szCs w:val="22"/>
        </w:rPr>
        <w:t xml:space="preserve"> and intentions.  Are they taking using the PASSEL materials for CEU </w:t>
      </w:r>
      <w:r>
        <w:rPr>
          <w:szCs w:val="22"/>
        </w:rPr>
        <w:t>(Continuing Education Unit)</w:t>
      </w:r>
      <w:r w:rsidR="00297BDE">
        <w:rPr>
          <w:szCs w:val="22"/>
        </w:rPr>
        <w:t xml:space="preserve"> </w:t>
      </w:r>
      <w:r w:rsidR="00297BDE" w:rsidRPr="00705F30">
        <w:rPr>
          <w:szCs w:val="22"/>
        </w:rPr>
        <w:t>credit</w:t>
      </w:r>
      <w:r w:rsidRPr="00705F30">
        <w:rPr>
          <w:szCs w:val="22"/>
        </w:rPr>
        <w:t>, as supplemental material, or for personal knowledge gain?  What was their motivation for taking quizzes?  Are they using the quiz as a self-check for their knowledge gain</w:t>
      </w:r>
      <w:r>
        <w:rPr>
          <w:szCs w:val="22"/>
        </w:rPr>
        <w:t xml:space="preserve"> or </w:t>
      </w:r>
      <w:r w:rsidRPr="00705F30">
        <w:rPr>
          <w:szCs w:val="22"/>
        </w:rPr>
        <w:t>as an overview to the material</w:t>
      </w:r>
      <w:r>
        <w:rPr>
          <w:szCs w:val="22"/>
        </w:rPr>
        <w:t>?</w:t>
      </w:r>
      <w:r w:rsidRPr="00705F30">
        <w:rPr>
          <w:szCs w:val="22"/>
        </w:rPr>
        <w:t xml:space="preserve">  It is also possible that the quiz is being used for basic learning by focusing on the feedback provided and retaking the quiz </w:t>
      </w:r>
      <w:r>
        <w:rPr>
          <w:szCs w:val="22"/>
        </w:rPr>
        <w:t>repeatedly</w:t>
      </w:r>
      <w:r w:rsidRPr="00705F30">
        <w:rPr>
          <w:szCs w:val="22"/>
        </w:rPr>
        <w:t xml:space="preserve"> rather than spending time</w:t>
      </w:r>
      <w:r>
        <w:rPr>
          <w:szCs w:val="22"/>
        </w:rPr>
        <w:t xml:space="preserve"> </w:t>
      </w:r>
      <w:r w:rsidRPr="009205BA">
        <w:rPr>
          <w:szCs w:val="22"/>
        </w:rPr>
        <w:t xml:space="preserve">only in the lesson. </w:t>
      </w:r>
      <w:r>
        <w:rPr>
          <w:szCs w:val="22"/>
        </w:rPr>
        <w:t xml:space="preserve"> We also acknowledge that multiple choice quizzes are not the only measure of learning.  Noncredit learners, in particular, may be more interested in developing partic</w:t>
      </w:r>
      <w:r>
        <w:rPr>
          <w:szCs w:val="22"/>
        </w:rPr>
        <w:t>u</w:t>
      </w:r>
      <w:r>
        <w:rPr>
          <w:szCs w:val="22"/>
        </w:rPr>
        <w:t xml:space="preserve">lar skills that could be better measured by essay or performance measures.  </w:t>
      </w:r>
      <w:r w:rsidRPr="009205BA">
        <w:rPr>
          <w:szCs w:val="22"/>
        </w:rPr>
        <w:t>Understanding these u</w:t>
      </w:r>
      <w:r w:rsidRPr="009205BA">
        <w:rPr>
          <w:szCs w:val="22"/>
        </w:rPr>
        <w:t>n</w:t>
      </w:r>
      <w:r w:rsidRPr="009205BA">
        <w:rPr>
          <w:szCs w:val="22"/>
        </w:rPr>
        <w:t xml:space="preserve">derlying motivations </w:t>
      </w:r>
      <w:r>
        <w:rPr>
          <w:szCs w:val="22"/>
        </w:rPr>
        <w:t xml:space="preserve">of noncredit students </w:t>
      </w:r>
      <w:r w:rsidRPr="009205BA">
        <w:rPr>
          <w:szCs w:val="22"/>
        </w:rPr>
        <w:t>will provide critical insight into their learning approach.</w:t>
      </w:r>
    </w:p>
    <w:p w14:paraId="317C58FB" w14:textId="77777777" w:rsidR="00C75044" w:rsidRPr="00705F30" w:rsidRDefault="00C75044" w:rsidP="00795B56">
      <w:pPr>
        <w:rPr>
          <w:szCs w:val="22"/>
        </w:rPr>
      </w:pPr>
      <w:r w:rsidRPr="00E74009">
        <w:rPr>
          <w:szCs w:val="22"/>
        </w:rPr>
        <w:t>As a first step in looking more closely at credit and noncredit learners, we focused specifically on clusters of users who scored high and low on the quizzes.  We believe that use of cluster analysis provides a way to make sense of large data generated in online learning object repositories by se</w:t>
      </w:r>
      <w:r w:rsidRPr="00E74009">
        <w:rPr>
          <w:szCs w:val="22"/>
        </w:rPr>
        <w:t>g</w:t>
      </w:r>
      <w:r w:rsidRPr="00E74009">
        <w:rPr>
          <w:szCs w:val="22"/>
        </w:rPr>
        <w:t xml:space="preserve">menting large learner populations, leading to more in-depth study of individual clusters.  Looking at usage data from the original eight clusters, as opposed to </w:t>
      </w:r>
      <w:r>
        <w:rPr>
          <w:szCs w:val="22"/>
        </w:rPr>
        <w:t xml:space="preserve">the two </w:t>
      </w:r>
      <w:r w:rsidRPr="00E74009">
        <w:rPr>
          <w:szCs w:val="22"/>
        </w:rPr>
        <w:t>high</w:t>
      </w:r>
      <w:r>
        <w:rPr>
          <w:szCs w:val="22"/>
        </w:rPr>
        <w:t xml:space="preserve"> and </w:t>
      </w:r>
      <w:r w:rsidRPr="00E74009">
        <w:rPr>
          <w:szCs w:val="22"/>
        </w:rPr>
        <w:t>low</w:t>
      </w:r>
      <w:r>
        <w:rPr>
          <w:szCs w:val="22"/>
        </w:rPr>
        <w:t xml:space="preserve"> </w:t>
      </w:r>
      <w:r w:rsidRPr="00E74009">
        <w:rPr>
          <w:szCs w:val="22"/>
        </w:rPr>
        <w:t>clusters</w:t>
      </w:r>
      <w:r>
        <w:rPr>
          <w:szCs w:val="22"/>
        </w:rPr>
        <w:t>,</w:t>
      </w:r>
      <w:r w:rsidRPr="00E74009">
        <w:rPr>
          <w:szCs w:val="22"/>
        </w:rPr>
        <w:t xml:space="preserve"> could pr</w:t>
      </w:r>
      <w:r w:rsidRPr="00E74009">
        <w:rPr>
          <w:szCs w:val="22"/>
        </w:rPr>
        <w:t>o</w:t>
      </w:r>
      <w:r w:rsidRPr="00E74009">
        <w:rPr>
          <w:szCs w:val="22"/>
        </w:rPr>
        <w:t>vide a more comprehensive view of learner behavior and underlying learning approaches.</w:t>
      </w:r>
    </w:p>
    <w:p w14:paraId="0A6E75EB" w14:textId="77777777" w:rsidR="00C75044" w:rsidRDefault="00C75044" w:rsidP="00795B56">
      <w:pPr>
        <w:rPr>
          <w:szCs w:val="22"/>
          <w:u w:val="single"/>
        </w:rPr>
      </w:pPr>
      <w:r>
        <w:rPr>
          <w:szCs w:val="22"/>
        </w:rPr>
        <w:t>These results also provide some preliminary insight for instructors or instructional designers.  For example, low scoring credit students are spending a reasonable amount of time on a lesson but still score low on the quiz.  Results suggest that they may need more online scaffolding or auto-generated guidance such as the availability of relevant animations or the need to review certain parts of a lesson based on questions missed from the quiz.</w:t>
      </w:r>
    </w:p>
    <w:p w14:paraId="4AAE7EF4" w14:textId="2B62256D" w:rsidR="00C75044" w:rsidRDefault="00C75044" w:rsidP="003F0C22">
      <w:pPr>
        <w:rPr>
          <w:szCs w:val="22"/>
        </w:rPr>
      </w:pPr>
      <w:r w:rsidRPr="00E74009">
        <w:rPr>
          <w:szCs w:val="22"/>
        </w:rPr>
        <w:t xml:space="preserve">In summary, this study capitalized on a large dataset of </w:t>
      </w:r>
      <w:r>
        <w:rPr>
          <w:szCs w:val="22"/>
        </w:rPr>
        <w:t>web-tracking</w:t>
      </w:r>
      <w:r w:rsidRPr="00E74009">
        <w:rPr>
          <w:szCs w:val="22"/>
        </w:rPr>
        <w:t xml:space="preserve"> usage data from an international learning object repository that was used by both credit and noncredit learners.  </w:t>
      </w:r>
      <w:r w:rsidRPr="00705F30">
        <w:rPr>
          <w:szCs w:val="22"/>
        </w:rPr>
        <w:t xml:space="preserve">This research made novel use of clustering and descriptive statistics to identify similarities of usage data with that of deep, strategic and surface approaches to learning.  </w:t>
      </w:r>
      <w:r w:rsidRPr="00E74009">
        <w:rPr>
          <w:szCs w:val="22"/>
        </w:rPr>
        <w:t xml:space="preserve">By using </w:t>
      </w:r>
      <w:r>
        <w:rPr>
          <w:szCs w:val="22"/>
        </w:rPr>
        <w:t xml:space="preserve">these </w:t>
      </w:r>
      <w:r w:rsidRPr="00E74009">
        <w:rPr>
          <w:szCs w:val="22"/>
        </w:rPr>
        <w:t>data analytic approache</w:t>
      </w:r>
      <w:r>
        <w:rPr>
          <w:szCs w:val="22"/>
        </w:rPr>
        <w:t xml:space="preserve">s, </w:t>
      </w:r>
      <w:r w:rsidRPr="00E74009">
        <w:rPr>
          <w:szCs w:val="22"/>
        </w:rPr>
        <w:t xml:space="preserve">we were able to discern </w:t>
      </w:r>
      <w:r>
        <w:rPr>
          <w:szCs w:val="22"/>
        </w:rPr>
        <w:t xml:space="preserve">usage </w:t>
      </w:r>
      <w:r w:rsidRPr="00E74009">
        <w:rPr>
          <w:szCs w:val="22"/>
        </w:rPr>
        <w:t>differences in credit and noncredit learners</w:t>
      </w:r>
      <w:r>
        <w:rPr>
          <w:szCs w:val="22"/>
        </w:rPr>
        <w:t xml:space="preserve"> (descriptive statistics)</w:t>
      </w:r>
      <w:r w:rsidRPr="00E74009">
        <w:rPr>
          <w:szCs w:val="22"/>
        </w:rPr>
        <w:t xml:space="preserve"> and identify sub-populations </w:t>
      </w:r>
      <w:r>
        <w:rPr>
          <w:szCs w:val="22"/>
        </w:rPr>
        <w:t xml:space="preserve">(cluster analysis) </w:t>
      </w:r>
      <w:r w:rsidRPr="00E74009">
        <w:rPr>
          <w:szCs w:val="22"/>
        </w:rPr>
        <w:t xml:space="preserve">for </w:t>
      </w:r>
      <w:r>
        <w:rPr>
          <w:szCs w:val="22"/>
        </w:rPr>
        <w:t>additional analysis</w:t>
      </w:r>
      <w:r w:rsidRPr="00E74009">
        <w:rPr>
          <w:szCs w:val="22"/>
        </w:rPr>
        <w:t>.  By combining these two data analytic a</w:t>
      </w:r>
      <w:r w:rsidRPr="00E74009">
        <w:rPr>
          <w:szCs w:val="22"/>
        </w:rPr>
        <w:t>p</w:t>
      </w:r>
      <w:r w:rsidRPr="00E74009">
        <w:rPr>
          <w:szCs w:val="22"/>
        </w:rPr>
        <w:t>proaches</w:t>
      </w:r>
      <w:r>
        <w:rPr>
          <w:szCs w:val="22"/>
        </w:rPr>
        <w:t>,</w:t>
      </w:r>
      <w:r w:rsidRPr="00E74009">
        <w:rPr>
          <w:szCs w:val="22"/>
        </w:rPr>
        <w:t xml:space="preserve"> we were able to answer some basic questions regarding differences in credit and noncredit learners and student</w:t>
      </w:r>
      <w:r>
        <w:rPr>
          <w:szCs w:val="22"/>
        </w:rPr>
        <w:t>s</w:t>
      </w:r>
      <w:r w:rsidRPr="00E74009">
        <w:rPr>
          <w:szCs w:val="22"/>
        </w:rPr>
        <w:t xml:space="preserve"> scoring high and low on online quizzes</w:t>
      </w:r>
      <w:r>
        <w:rPr>
          <w:szCs w:val="22"/>
        </w:rPr>
        <w:t xml:space="preserve">.  </w:t>
      </w:r>
      <w:r w:rsidRPr="00901549">
        <w:rPr>
          <w:szCs w:val="22"/>
        </w:rPr>
        <w:t>The study also highlights areas for future research, including the need for more demographic data about the learners, as well as their motivations for seeking online material and how they define “success” in learning (it may not be completion of an entire course module and/or “passing” a quiz) (</w:t>
      </w:r>
      <w:proofErr w:type="spellStart"/>
      <w:r w:rsidRPr="00901549">
        <w:rPr>
          <w:szCs w:val="22"/>
        </w:rPr>
        <w:t>Albelbisi</w:t>
      </w:r>
      <w:proofErr w:type="spellEnd"/>
      <w:r w:rsidR="00E35686">
        <w:rPr>
          <w:szCs w:val="22"/>
        </w:rPr>
        <w:t xml:space="preserve"> et al.</w:t>
      </w:r>
      <w:r w:rsidRPr="00901549">
        <w:rPr>
          <w:szCs w:val="22"/>
        </w:rPr>
        <w:t>, 2018</w:t>
      </w:r>
      <w:r w:rsidR="00E35686">
        <w:rPr>
          <w:szCs w:val="22"/>
        </w:rPr>
        <w:t>;</w:t>
      </w:r>
      <w:r w:rsidR="00E35686" w:rsidRPr="00E35686">
        <w:rPr>
          <w:szCs w:val="22"/>
        </w:rPr>
        <w:t xml:space="preserve"> </w:t>
      </w:r>
      <w:proofErr w:type="spellStart"/>
      <w:r w:rsidR="00E35686" w:rsidRPr="00901549">
        <w:rPr>
          <w:szCs w:val="22"/>
        </w:rPr>
        <w:t>Clow</w:t>
      </w:r>
      <w:proofErr w:type="spellEnd"/>
      <w:r w:rsidR="00E35686" w:rsidRPr="00901549">
        <w:rPr>
          <w:szCs w:val="22"/>
        </w:rPr>
        <w:t>, 2013</w:t>
      </w:r>
      <w:r w:rsidRPr="00901549">
        <w:rPr>
          <w:szCs w:val="22"/>
        </w:rPr>
        <w:t>).  This information could provide greater insight into the online behavior of noncredit learners, who vary widely in their reasons and motivation for pursuing online instruction. Future research could also benefit from the use of performance-based learning measures instead of objective assessments and a larger sample of credit and noncredit learners to provide validation of these results and i</w:t>
      </w:r>
      <w:r w:rsidRPr="00901549">
        <w:rPr>
          <w:szCs w:val="22"/>
        </w:rPr>
        <w:t>m</w:t>
      </w:r>
      <w:r w:rsidRPr="00901549">
        <w:rPr>
          <w:szCs w:val="22"/>
        </w:rPr>
        <w:t xml:space="preserve">prove generalizability of results.  </w:t>
      </w:r>
    </w:p>
    <w:p w14:paraId="6268AB69" w14:textId="77777777" w:rsidR="00253945" w:rsidRPr="00901549" w:rsidRDefault="00253945" w:rsidP="00253945">
      <w:pPr>
        <w:pStyle w:val="Heading1"/>
      </w:pPr>
      <w:r w:rsidRPr="001C39FB">
        <w:t>Acknowledgements</w:t>
      </w:r>
    </w:p>
    <w:p w14:paraId="6484B92D" w14:textId="77777777" w:rsidR="00253945" w:rsidRPr="00901549" w:rsidRDefault="00253945" w:rsidP="00253945">
      <w:r w:rsidRPr="00901549">
        <w:t>This study was supported in part by the National Research Initiative Competitive Grants CAP pr</w:t>
      </w:r>
      <w:r w:rsidRPr="00901549">
        <w:t>o</w:t>
      </w:r>
      <w:r w:rsidRPr="00901549">
        <w:t xml:space="preserve">ject 2011-68002-30029 from the USDA National Institute of Food and Agriculture, administered by the University of California-Davis and the Agriculture and Food Research Initiative Competitive </w:t>
      </w:r>
      <w:r w:rsidRPr="00901549">
        <w:lastRenderedPageBreak/>
        <w:t>Grant no. 2011-68005-30411; and from the USDA National Institute of Food and Agriculture, a</w:t>
      </w:r>
      <w:r w:rsidRPr="00901549">
        <w:t>d</w:t>
      </w:r>
      <w:r w:rsidRPr="00901549">
        <w:t>ministered by Iowa State University.</w:t>
      </w:r>
    </w:p>
    <w:p w14:paraId="52C0F1FA" w14:textId="77777777" w:rsidR="00253945" w:rsidRDefault="00253945" w:rsidP="00253945">
      <w:pPr>
        <w:rPr>
          <w:szCs w:val="22"/>
        </w:rPr>
      </w:pPr>
      <w:r w:rsidRPr="00901549">
        <w:rPr>
          <w:szCs w:val="22"/>
        </w:rPr>
        <w:t xml:space="preserve">The authors wish to thank Ms. Amy </w:t>
      </w:r>
      <w:proofErr w:type="spellStart"/>
      <w:r w:rsidRPr="00901549">
        <w:rPr>
          <w:szCs w:val="22"/>
        </w:rPr>
        <w:t>Kohmetscher</w:t>
      </w:r>
      <w:proofErr w:type="spellEnd"/>
      <w:r w:rsidRPr="00901549">
        <w:rPr>
          <w:szCs w:val="22"/>
        </w:rPr>
        <w:t xml:space="preserve"> and Dr. Houston Lester for their assistance with collecting and analyzing some of the data used in this study.</w:t>
      </w:r>
    </w:p>
    <w:p w14:paraId="23493487" w14:textId="77777777" w:rsidR="003D08A1" w:rsidRPr="00901549" w:rsidRDefault="003D08A1" w:rsidP="00453BA7">
      <w:pPr>
        <w:pStyle w:val="Heading1"/>
        <w:ind w:left="720" w:hanging="720"/>
      </w:pPr>
      <w:r w:rsidRPr="00901549">
        <w:t>References</w:t>
      </w:r>
      <w:r w:rsidR="00E86D7D" w:rsidRPr="00901549">
        <w:tab/>
      </w:r>
    </w:p>
    <w:p w14:paraId="4A70E95F" w14:textId="1CB71A06" w:rsidR="005E5A5B" w:rsidRPr="00901549" w:rsidRDefault="005E5A5B" w:rsidP="00253945">
      <w:pPr>
        <w:pStyle w:val="References"/>
        <w:rPr>
          <w:noProof/>
        </w:rPr>
      </w:pPr>
      <w:bookmarkStart w:id="10" w:name="_Hlk527435409"/>
      <w:r w:rsidRPr="00901549">
        <w:rPr>
          <w:noProof/>
        </w:rPr>
        <w:t xml:space="preserve">Akçapınar, G. (2016). Predicting students’ approaches to learning based on moodle logs. In </w:t>
      </w:r>
      <w:r w:rsidRPr="00901549">
        <w:rPr>
          <w:i/>
          <w:iCs/>
          <w:noProof/>
        </w:rPr>
        <w:t>8th International Conference on Education and New Learning Technologies</w:t>
      </w:r>
      <w:r w:rsidRPr="00901549">
        <w:rPr>
          <w:noProof/>
        </w:rPr>
        <w:t xml:space="preserve"> (pp. 2347–2352).  </w:t>
      </w:r>
      <w:hyperlink r:id="rId21" w:history="1">
        <w:r w:rsidR="00D8670A" w:rsidRPr="00C93649">
          <w:rPr>
            <w:rStyle w:val="Hyperlink"/>
          </w:rPr>
          <w:t>https://doi.org/10.21125/edulearn.2016.1473</w:t>
        </w:r>
      </w:hyperlink>
      <w:r w:rsidR="00D8670A">
        <w:t xml:space="preserve"> </w:t>
      </w:r>
    </w:p>
    <w:p w14:paraId="68B5C28B" w14:textId="409A416A" w:rsidR="005E5A5B" w:rsidRPr="00901549" w:rsidRDefault="005E5A5B" w:rsidP="00253945">
      <w:pPr>
        <w:pStyle w:val="References"/>
      </w:pPr>
      <w:proofErr w:type="spellStart"/>
      <w:r w:rsidRPr="00901549">
        <w:t>Albelbisi</w:t>
      </w:r>
      <w:proofErr w:type="spellEnd"/>
      <w:r w:rsidRPr="00901549">
        <w:t xml:space="preserve">, N., </w:t>
      </w:r>
      <w:proofErr w:type="spellStart"/>
      <w:r w:rsidRPr="00901549">
        <w:t>Yusop</w:t>
      </w:r>
      <w:proofErr w:type="spellEnd"/>
      <w:r w:rsidRPr="00901549">
        <w:t>, F.</w:t>
      </w:r>
      <w:r w:rsidR="001C18A7" w:rsidRPr="00901549">
        <w:t xml:space="preserve"> </w:t>
      </w:r>
      <w:r w:rsidRPr="00901549">
        <w:t xml:space="preserve">D., &amp; </w:t>
      </w:r>
      <w:proofErr w:type="spellStart"/>
      <w:r w:rsidRPr="00901549">
        <w:t>Mohd</w:t>
      </w:r>
      <w:proofErr w:type="spellEnd"/>
      <w:r w:rsidRPr="00901549">
        <w:t xml:space="preserve"> </w:t>
      </w:r>
      <w:proofErr w:type="spellStart"/>
      <w:r w:rsidRPr="00901549">
        <w:t>Salleh</w:t>
      </w:r>
      <w:proofErr w:type="spellEnd"/>
      <w:r w:rsidRPr="00901549">
        <w:t>, U.</w:t>
      </w:r>
      <w:r w:rsidR="001C18A7" w:rsidRPr="00901549">
        <w:t xml:space="preserve"> </w:t>
      </w:r>
      <w:r w:rsidRPr="00901549">
        <w:t xml:space="preserve">K. (2018). Mapping the </w:t>
      </w:r>
      <w:r w:rsidR="001C18A7" w:rsidRPr="00901549">
        <w:t>f</w:t>
      </w:r>
      <w:r w:rsidRPr="00901549">
        <w:t xml:space="preserve">actors </w:t>
      </w:r>
      <w:r w:rsidR="001C18A7" w:rsidRPr="00901549">
        <w:t>i</w:t>
      </w:r>
      <w:r w:rsidRPr="00901549">
        <w:t xml:space="preserve">nfluencing </w:t>
      </w:r>
      <w:r w:rsidR="001C18A7" w:rsidRPr="00901549">
        <w:t>s</w:t>
      </w:r>
      <w:r w:rsidRPr="00901549">
        <w:t xml:space="preserve">uccess of Massive Open Online Courses (MOOC) in </w:t>
      </w:r>
      <w:r w:rsidR="001C18A7" w:rsidRPr="00901549">
        <w:t>h</w:t>
      </w:r>
      <w:r w:rsidRPr="00901549">
        <w:t xml:space="preserve">igher </w:t>
      </w:r>
      <w:r w:rsidR="001C18A7" w:rsidRPr="00901549">
        <w:t>e</w:t>
      </w:r>
      <w:r w:rsidRPr="00901549">
        <w:t xml:space="preserve">ducation. </w:t>
      </w:r>
      <w:r w:rsidRPr="00901549">
        <w:rPr>
          <w:i/>
        </w:rPr>
        <w:t>EURASIA Journal of Mathematics, Science and Technology Education, 14</w:t>
      </w:r>
      <w:r w:rsidRPr="00901549">
        <w:t>, 2995</w:t>
      </w:r>
      <w:r w:rsidR="00B50E4A" w:rsidRPr="00901549">
        <w:t>–</w:t>
      </w:r>
      <w:r w:rsidRPr="00901549">
        <w:t xml:space="preserve">3012. </w:t>
      </w:r>
      <w:hyperlink r:id="rId22" w:history="1">
        <w:r w:rsidR="00D8670A" w:rsidRPr="00C93649">
          <w:rPr>
            <w:rStyle w:val="Hyperlink"/>
          </w:rPr>
          <w:t>https://doi.org/10.29333/ejmste/91486</w:t>
        </w:r>
      </w:hyperlink>
      <w:r w:rsidR="00D8670A">
        <w:t xml:space="preserve"> </w:t>
      </w:r>
    </w:p>
    <w:p w14:paraId="1FF530F4" w14:textId="76A9703F" w:rsidR="005E5A5B" w:rsidRPr="00901549" w:rsidRDefault="005E5A5B" w:rsidP="00253945">
      <w:pPr>
        <w:pStyle w:val="References"/>
      </w:pPr>
      <w:proofErr w:type="spellStart"/>
      <w:r w:rsidRPr="00901549">
        <w:t>Almeda</w:t>
      </w:r>
      <w:proofErr w:type="spellEnd"/>
      <w:r w:rsidRPr="00901549">
        <w:t xml:space="preserve">, V., </w:t>
      </w:r>
      <w:proofErr w:type="spellStart"/>
      <w:r w:rsidRPr="00901549">
        <w:t>Zuech</w:t>
      </w:r>
      <w:proofErr w:type="spellEnd"/>
      <w:r w:rsidRPr="00901549">
        <w:t xml:space="preserve">, J., </w:t>
      </w:r>
      <w:proofErr w:type="spellStart"/>
      <w:r w:rsidRPr="00901549">
        <w:t>Utz</w:t>
      </w:r>
      <w:proofErr w:type="spellEnd"/>
      <w:r w:rsidRPr="00901549">
        <w:t xml:space="preserve">, C., Higgins, G., Reynolds, R., &amp; Baker, R. S. (2018).  Comparing the </w:t>
      </w:r>
      <w:r w:rsidR="00B50E4A" w:rsidRPr="00901549">
        <w:t>f</w:t>
      </w:r>
      <w:r w:rsidRPr="00901549">
        <w:t xml:space="preserve">actors </w:t>
      </w:r>
      <w:r w:rsidR="00B50E4A" w:rsidRPr="00901549">
        <w:t>t</w:t>
      </w:r>
      <w:r w:rsidRPr="00901549">
        <w:t xml:space="preserve">hat </w:t>
      </w:r>
      <w:r w:rsidR="00B50E4A" w:rsidRPr="00901549">
        <w:t>p</w:t>
      </w:r>
      <w:r w:rsidRPr="00901549">
        <w:t xml:space="preserve">redict </w:t>
      </w:r>
      <w:r w:rsidR="00B50E4A" w:rsidRPr="00901549">
        <w:t>c</w:t>
      </w:r>
      <w:r w:rsidRPr="00901549">
        <w:t xml:space="preserve">ompletion and </w:t>
      </w:r>
      <w:r w:rsidR="00B50E4A" w:rsidRPr="00901549">
        <w:t>g</w:t>
      </w:r>
      <w:r w:rsidRPr="00901549">
        <w:t xml:space="preserve">rades </w:t>
      </w:r>
      <w:r w:rsidR="00B50E4A" w:rsidRPr="00901549">
        <w:t>a</w:t>
      </w:r>
      <w:r w:rsidRPr="00901549">
        <w:t xml:space="preserve">mong </w:t>
      </w:r>
      <w:r w:rsidR="00B50E4A" w:rsidRPr="00901549">
        <w:t>f</w:t>
      </w:r>
      <w:r w:rsidRPr="00901549">
        <w:t>or-</w:t>
      </w:r>
      <w:r w:rsidR="00B50E4A" w:rsidRPr="00901549">
        <w:t>c</w:t>
      </w:r>
      <w:r w:rsidRPr="00901549">
        <w:t xml:space="preserve">redit and </w:t>
      </w:r>
      <w:r w:rsidR="00B50E4A" w:rsidRPr="00901549">
        <w:t>o</w:t>
      </w:r>
      <w:r w:rsidRPr="00901549">
        <w:t xml:space="preserve">pen/MOOC </w:t>
      </w:r>
      <w:r w:rsidR="00B50E4A" w:rsidRPr="00901549">
        <w:t>s</w:t>
      </w:r>
      <w:r w:rsidRPr="00901549">
        <w:t xml:space="preserve">tudents in </w:t>
      </w:r>
      <w:r w:rsidR="00B50E4A" w:rsidRPr="00901549">
        <w:t>o</w:t>
      </w:r>
      <w:r w:rsidRPr="00901549">
        <w:t xml:space="preserve">nline </w:t>
      </w:r>
      <w:r w:rsidR="00B50E4A" w:rsidRPr="00901549">
        <w:t>l</w:t>
      </w:r>
      <w:r w:rsidRPr="00901549">
        <w:t xml:space="preserve">earning. </w:t>
      </w:r>
      <w:r w:rsidRPr="00901549">
        <w:rPr>
          <w:i/>
        </w:rPr>
        <w:t>Online Learning, 22</w:t>
      </w:r>
      <w:r w:rsidRPr="00901549">
        <w:t>(1), 1</w:t>
      </w:r>
      <w:r w:rsidR="00B50E4A" w:rsidRPr="00901549">
        <w:t>–</w:t>
      </w:r>
      <w:r w:rsidRPr="00901549">
        <w:t>18.</w:t>
      </w:r>
      <w:r w:rsidR="009762E8" w:rsidRPr="009762E8">
        <w:rPr>
          <w:szCs w:val="20"/>
        </w:rPr>
        <w:t xml:space="preserve"> </w:t>
      </w:r>
      <w:hyperlink r:id="rId23" w:tgtFrame="_blank" w:history="1">
        <w:r w:rsidR="009762E8" w:rsidRPr="00D4506B">
          <w:rPr>
            <w:rStyle w:val="Hyperlink"/>
            <w:szCs w:val="20"/>
          </w:rPr>
          <w:t>https://doi.org/10.24059/olj.v22i1.1060</w:t>
        </w:r>
      </w:hyperlink>
    </w:p>
    <w:p w14:paraId="1C63CE0B" w14:textId="6DB8D250" w:rsidR="005E5A5B" w:rsidRPr="00901549" w:rsidRDefault="005E5A5B" w:rsidP="00253945">
      <w:pPr>
        <w:pStyle w:val="References"/>
      </w:pPr>
      <w:proofErr w:type="spellStart"/>
      <w:r w:rsidRPr="00901549">
        <w:t>Amershi</w:t>
      </w:r>
      <w:proofErr w:type="spellEnd"/>
      <w:r w:rsidRPr="00901549">
        <w:t xml:space="preserve">, S., &amp; </w:t>
      </w:r>
      <w:proofErr w:type="spellStart"/>
      <w:r w:rsidRPr="00901549">
        <w:t>Conati</w:t>
      </w:r>
      <w:proofErr w:type="spellEnd"/>
      <w:r w:rsidRPr="00901549">
        <w:t>, C. (2006). Automatic recognition of learner groups in exploratory learning enviro</w:t>
      </w:r>
      <w:r w:rsidRPr="00901549">
        <w:t>n</w:t>
      </w:r>
      <w:r w:rsidRPr="00901549">
        <w:t xml:space="preserve">ments. In M. Ikeda, K. D. Ashley, </w:t>
      </w:r>
      <w:r w:rsidR="00616447" w:rsidRPr="00901549">
        <w:t xml:space="preserve">&amp; </w:t>
      </w:r>
      <w:r w:rsidRPr="00901549">
        <w:t xml:space="preserve">T.-W. Chan (Eds.), </w:t>
      </w:r>
      <w:r w:rsidRPr="00901549">
        <w:rPr>
          <w:i/>
        </w:rPr>
        <w:t>Intelligent Tutoring Systems, Proceedings of the 8t</w:t>
      </w:r>
      <w:r w:rsidR="00616447" w:rsidRPr="00901549">
        <w:rPr>
          <w:i/>
        </w:rPr>
        <w:t>h</w:t>
      </w:r>
      <w:r w:rsidRPr="00901549">
        <w:rPr>
          <w:i/>
        </w:rPr>
        <w:t xml:space="preserve"> Inte</w:t>
      </w:r>
      <w:r w:rsidRPr="00901549">
        <w:rPr>
          <w:i/>
        </w:rPr>
        <w:t>r</w:t>
      </w:r>
      <w:r w:rsidRPr="00901549">
        <w:rPr>
          <w:i/>
        </w:rPr>
        <w:t>national Conference, ITS 2006</w:t>
      </w:r>
      <w:r w:rsidRPr="00901549">
        <w:t xml:space="preserve"> (pp. 463–472).</w:t>
      </w:r>
      <w:r w:rsidR="009762E8" w:rsidRPr="009762E8">
        <w:rPr>
          <w:szCs w:val="20"/>
        </w:rPr>
        <w:t xml:space="preserve"> </w:t>
      </w:r>
      <w:hyperlink r:id="rId24" w:tgtFrame="_blank" w:history="1">
        <w:r w:rsidR="009762E8" w:rsidRPr="00D4506B">
          <w:rPr>
            <w:rStyle w:val="Hyperlink"/>
            <w:szCs w:val="20"/>
          </w:rPr>
          <w:t>https://doi.org/10.1007/11774303_46</w:t>
        </w:r>
      </w:hyperlink>
    </w:p>
    <w:p w14:paraId="3BE447D3" w14:textId="77777777" w:rsidR="005E5A5B" w:rsidRPr="00D8670A" w:rsidRDefault="005E5A5B" w:rsidP="00253945">
      <w:pPr>
        <w:pStyle w:val="References"/>
      </w:pPr>
      <w:r w:rsidRPr="00901549">
        <w:rPr>
          <w:noProof/>
        </w:rPr>
        <w:t xml:space="preserve">Biggs, J. B. (1987). </w:t>
      </w:r>
      <w:r w:rsidRPr="00901549">
        <w:rPr>
          <w:i/>
          <w:noProof/>
        </w:rPr>
        <w:t>Student approaches to learning and studying.</w:t>
      </w:r>
      <w:r w:rsidRPr="00901549">
        <w:rPr>
          <w:noProof/>
        </w:rPr>
        <w:t xml:space="preserve"> Camberwell, Victoria: Australian Council for Educational Research.</w:t>
      </w:r>
    </w:p>
    <w:p w14:paraId="3FA43C99" w14:textId="27BB159E" w:rsidR="005E5A5B" w:rsidRPr="00901549" w:rsidRDefault="005E5A5B" w:rsidP="00253945">
      <w:pPr>
        <w:pStyle w:val="References"/>
        <w:rPr>
          <w:noProof/>
        </w:rPr>
      </w:pPr>
      <w:r w:rsidRPr="00901549">
        <w:t xml:space="preserve">Biggs, J. B., </w:t>
      </w:r>
      <w:proofErr w:type="spellStart"/>
      <w:r w:rsidRPr="00901549">
        <w:t>Kember</w:t>
      </w:r>
      <w:proofErr w:type="spellEnd"/>
      <w:r w:rsidRPr="00901549">
        <w:t xml:space="preserve">, D., &amp; Leung, D. Y. P. (2001). The Revised Two Factor Study Process Questionnaire: R-SPQ-2F. </w:t>
      </w:r>
      <w:r w:rsidRPr="00901549">
        <w:rPr>
          <w:i/>
        </w:rPr>
        <w:t>British Journal of Educational Psychology, 71</w:t>
      </w:r>
      <w:r w:rsidRPr="00901549">
        <w:t>, 133–149.</w:t>
      </w:r>
      <w:r w:rsidR="009762E8" w:rsidRPr="009762E8">
        <w:rPr>
          <w:szCs w:val="20"/>
        </w:rPr>
        <w:t xml:space="preserve"> </w:t>
      </w:r>
      <w:hyperlink r:id="rId25" w:tgtFrame="_blank" w:history="1">
        <w:r w:rsidR="009762E8" w:rsidRPr="00D4506B">
          <w:rPr>
            <w:rStyle w:val="Hyperlink"/>
            <w:szCs w:val="20"/>
          </w:rPr>
          <w:t>https://doi.org/10.1348/000709901158433</w:t>
        </w:r>
      </w:hyperlink>
    </w:p>
    <w:p w14:paraId="1AB59659" w14:textId="77777777" w:rsidR="005E5A5B" w:rsidRPr="00901549" w:rsidRDefault="005E5A5B" w:rsidP="00253945">
      <w:pPr>
        <w:pStyle w:val="References"/>
        <w:rPr>
          <w:noProof/>
        </w:rPr>
      </w:pPr>
      <w:r w:rsidRPr="00901549">
        <w:rPr>
          <w:noProof/>
        </w:rPr>
        <w:t xml:space="preserve">Bransford, J. D., Brown, A. L., &amp; Cocking, R. R. (2000). </w:t>
      </w:r>
      <w:r w:rsidRPr="00901549">
        <w:rPr>
          <w:i/>
          <w:noProof/>
        </w:rPr>
        <w:t xml:space="preserve">How people learn: Brain, mind, experience, and school. </w:t>
      </w:r>
      <w:r w:rsidRPr="00901549">
        <w:rPr>
          <w:noProof/>
        </w:rPr>
        <w:t>Washington, DC: National Academies Press.</w:t>
      </w:r>
    </w:p>
    <w:p w14:paraId="435582DD" w14:textId="77777777" w:rsidR="005E5A5B" w:rsidRPr="00901549" w:rsidRDefault="005E5A5B" w:rsidP="00253945">
      <w:pPr>
        <w:pStyle w:val="References"/>
        <w:rPr>
          <w:noProof/>
        </w:rPr>
      </w:pPr>
      <w:r w:rsidRPr="00901549">
        <w:rPr>
          <w:noProof/>
        </w:rPr>
        <w:t xml:space="preserve">Breslow, L., Pritchard, D. E., DeBoer, J., Stump, G. S., Ho, A. D., &amp; Seaton, D. T. (2013). Studying learning in the worldwide classroom: Research into edX’s first MOOC. </w:t>
      </w:r>
      <w:r w:rsidRPr="00901549">
        <w:rPr>
          <w:i/>
          <w:noProof/>
        </w:rPr>
        <w:t>Research &amp; Practice in Assessment, 8</w:t>
      </w:r>
      <w:r w:rsidRPr="00901549">
        <w:rPr>
          <w:noProof/>
        </w:rPr>
        <w:t>(Summer), 13–25.</w:t>
      </w:r>
    </w:p>
    <w:p w14:paraId="428A2A68" w14:textId="6F485002" w:rsidR="00297BDE" w:rsidRPr="00901549" w:rsidRDefault="005E5A5B" w:rsidP="00253945">
      <w:pPr>
        <w:pStyle w:val="References"/>
        <w:rPr>
          <w:noProof/>
        </w:rPr>
      </w:pPr>
      <w:r w:rsidRPr="00901549">
        <w:rPr>
          <w:noProof/>
        </w:rPr>
        <w:t>Clow, D. (2013)</w:t>
      </w:r>
      <w:r w:rsidR="00AB40BE" w:rsidRPr="00901549">
        <w:rPr>
          <w:noProof/>
        </w:rPr>
        <w:t>.</w:t>
      </w:r>
      <w:r w:rsidRPr="00901549">
        <w:rPr>
          <w:noProof/>
        </w:rPr>
        <w:t xml:space="preserve"> MOOC</w:t>
      </w:r>
      <w:r w:rsidR="00AB40BE" w:rsidRPr="00901549">
        <w:rPr>
          <w:noProof/>
        </w:rPr>
        <w:t>s</w:t>
      </w:r>
      <w:r w:rsidRPr="00901549">
        <w:rPr>
          <w:noProof/>
        </w:rPr>
        <w:t xml:space="preserve"> and the funnel of participation. In </w:t>
      </w:r>
      <w:r w:rsidRPr="00901549">
        <w:rPr>
          <w:i/>
          <w:noProof/>
        </w:rPr>
        <w:t>Proceedings of the Third International Con</w:t>
      </w:r>
      <w:r w:rsidR="00AB40BE" w:rsidRPr="00901549">
        <w:rPr>
          <w:i/>
          <w:noProof/>
        </w:rPr>
        <w:t>f</w:t>
      </w:r>
      <w:r w:rsidRPr="00901549">
        <w:rPr>
          <w:i/>
          <w:noProof/>
        </w:rPr>
        <w:t>erence on Learning</w:t>
      </w:r>
      <w:r w:rsidR="00AB40BE" w:rsidRPr="00901549">
        <w:rPr>
          <w:i/>
          <w:noProof/>
        </w:rPr>
        <w:t>,</w:t>
      </w:r>
      <w:r w:rsidRPr="00901549">
        <w:rPr>
          <w:i/>
          <w:noProof/>
        </w:rPr>
        <w:t xml:space="preserve"> Analytics and Knowledge </w:t>
      </w:r>
      <w:r w:rsidRPr="00901549">
        <w:rPr>
          <w:noProof/>
        </w:rPr>
        <w:t>(pp. 185</w:t>
      </w:r>
      <w:r w:rsidR="00AB40BE" w:rsidRPr="00901549">
        <w:rPr>
          <w:noProof/>
        </w:rPr>
        <w:t>–</w:t>
      </w:r>
      <w:r w:rsidRPr="00901549">
        <w:rPr>
          <w:noProof/>
        </w:rPr>
        <w:t>189).</w:t>
      </w:r>
      <w:r w:rsidR="009762E8" w:rsidRPr="009762E8">
        <w:rPr>
          <w:szCs w:val="20"/>
        </w:rPr>
        <w:t xml:space="preserve"> </w:t>
      </w:r>
      <w:hyperlink r:id="rId26" w:tgtFrame="_blank" w:history="1">
        <w:r w:rsidR="009762E8" w:rsidRPr="00D4506B">
          <w:rPr>
            <w:rStyle w:val="Hyperlink"/>
            <w:szCs w:val="20"/>
          </w:rPr>
          <w:t>https://doi.org/10.1145/2460296.2460332</w:t>
        </w:r>
      </w:hyperlink>
    </w:p>
    <w:p w14:paraId="4989B49E" w14:textId="2D04EC8E" w:rsidR="00297BDE" w:rsidRPr="00901549" w:rsidRDefault="005E5A5B" w:rsidP="00253945">
      <w:pPr>
        <w:pStyle w:val="References"/>
        <w:rPr>
          <w:noProof/>
        </w:rPr>
      </w:pPr>
      <w:r w:rsidRPr="00901549">
        <w:rPr>
          <w:noProof/>
        </w:rPr>
        <w:t>Davis, A</w:t>
      </w:r>
      <w:r w:rsidR="00AB40BE" w:rsidRPr="00901549">
        <w:rPr>
          <w:noProof/>
        </w:rPr>
        <w:t>.</w:t>
      </w:r>
      <w:r w:rsidRPr="00901549">
        <w:rPr>
          <w:noProof/>
        </w:rPr>
        <w:t>, &amp; Mirick, R</w:t>
      </w:r>
      <w:r w:rsidR="00AB40BE" w:rsidRPr="00901549">
        <w:rPr>
          <w:noProof/>
        </w:rPr>
        <w:t>.</w:t>
      </w:r>
      <w:r w:rsidRPr="00901549">
        <w:rPr>
          <w:noProof/>
        </w:rPr>
        <w:t xml:space="preserve"> (2017). Teaching </w:t>
      </w:r>
      <w:r w:rsidR="00AB40BE" w:rsidRPr="00901549">
        <w:rPr>
          <w:noProof/>
        </w:rPr>
        <w:t>s</w:t>
      </w:r>
      <w:r w:rsidRPr="00901549">
        <w:rPr>
          <w:noProof/>
        </w:rPr>
        <w:t xml:space="preserve">tatistics to MSW </w:t>
      </w:r>
      <w:r w:rsidR="00AB40BE" w:rsidRPr="00901549">
        <w:rPr>
          <w:noProof/>
        </w:rPr>
        <w:t>s</w:t>
      </w:r>
      <w:r w:rsidRPr="00901549">
        <w:rPr>
          <w:noProof/>
        </w:rPr>
        <w:t xml:space="preserve">tudents: Comparing </w:t>
      </w:r>
      <w:r w:rsidR="00AB40BE" w:rsidRPr="00901549">
        <w:rPr>
          <w:noProof/>
        </w:rPr>
        <w:t>c</w:t>
      </w:r>
      <w:r w:rsidRPr="00901549">
        <w:rPr>
          <w:noProof/>
        </w:rPr>
        <w:t xml:space="preserve">redit and </w:t>
      </w:r>
      <w:r w:rsidR="00AB40BE" w:rsidRPr="00901549">
        <w:rPr>
          <w:noProof/>
        </w:rPr>
        <w:t>n</w:t>
      </w:r>
      <w:r w:rsidRPr="00901549">
        <w:rPr>
          <w:noProof/>
        </w:rPr>
        <w:t>on-</w:t>
      </w:r>
      <w:r w:rsidR="00AB40BE" w:rsidRPr="00901549">
        <w:rPr>
          <w:noProof/>
        </w:rPr>
        <w:t>c</w:t>
      </w:r>
      <w:r w:rsidRPr="00901549">
        <w:rPr>
          <w:noProof/>
        </w:rPr>
        <w:t xml:space="preserve">redit </w:t>
      </w:r>
      <w:r w:rsidR="00AB40BE" w:rsidRPr="00901549">
        <w:rPr>
          <w:noProof/>
        </w:rPr>
        <w:t>o</w:t>
      </w:r>
      <w:r w:rsidRPr="00901549">
        <w:rPr>
          <w:noProof/>
        </w:rPr>
        <w:t>ptions.</w:t>
      </w:r>
      <w:r w:rsidR="00AB40BE" w:rsidRPr="00901549">
        <w:rPr>
          <w:noProof/>
        </w:rPr>
        <w:t xml:space="preserve"> </w:t>
      </w:r>
      <w:r w:rsidRPr="00901549">
        <w:rPr>
          <w:i/>
          <w:noProof/>
        </w:rPr>
        <w:t>Advances in Social Work, 18</w:t>
      </w:r>
      <w:r w:rsidR="00AB40BE" w:rsidRPr="00901549">
        <w:rPr>
          <w:noProof/>
        </w:rPr>
        <w:t>,</w:t>
      </w:r>
      <w:r w:rsidRPr="00901549">
        <w:rPr>
          <w:noProof/>
        </w:rPr>
        <w:t xml:space="preserve"> 437</w:t>
      </w:r>
      <w:r w:rsidR="00AB40BE" w:rsidRPr="00901549">
        <w:rPr>
          <w:noProof/>
        </w:rPr>
        <w:t>–</w:t>
      </w:r>
      <w:r w:rsidRPr="00901549">
        <w:rPr>
          <w:noProof/>
        </w:rPr>
        <w:t>455.</w:t>
      </w:r>
      <w:r w:rsidR="00175199" w:rsidRPr="00175199">
        <w:rPr>
          <w:szCs w:val="20"/>
        </w:rPr>
        <w:t xml:space="preserve"> </w:t>
      </w:r>
      <w:hyperlink r:id="rId27" w:tgtFrame="_blank" w:history="1">
        <w:r w:rsidR="00175199" w:rsidRPr="00D4506B">
          <w:rPr>
            <w:rStyle w:val="Hyperlink"/>
            <w:szCs w:val="20"/>
          </w:rPr>
          <w:t>https://doi.org/10.18060/21448</w:t>
        </w:r>
      </w:hyperlink>
    </w:p>
    <w:p w14:paraId="42E2ED43" w14:textId="46C8BD7E" w:rsidR="00297BDE" w:rsidRPr="00901549" w:rsidRDefault="005E5A5B" w:rsidP="00253945">
      <w:pPr>
        <w:pStyle w:val="References"/>
        <w:rPr>
          <w:noProof/>
        </w:rPr>
      </w:pPr>
      <w:r w:rsidRPr="00901549">
        <w:rPr>
          <w:noProof/>
        </w:rPr>
        <w:t xml:space="preserve">Entwistle, N. (1977). Strategies of learning and studying: Recent research findings. </w:t>
      </w:r>
      <w:r w:rsidRPr="00901549">
        <w:rPr>
          <w:i/>
          <w:noProof/>
        </w:rPr>
        <w:t>British Journal of Educational Studies, 25</w:t>
      </w:r>
      <w:r w:rsidRPr="00901549">
        <w:rPr>
          <w:noProof/>
        </w:rPr>
        <w:t xml:space="preserve">, 225–238. </w:t>
      </w:r>
      <w:hyperlink r:id="rId28" w:history="1">
        <w:r w:rsidR="00173470" w:rsidRPr="00C93649">
          <w:rPr>
            <w:rStyle w:val="Hyperlink"/>
          </w:rPr>
          <w:t>https://doi.org/10.1080/00071005.1977.9973497</w:t>
        </w:r>
      </w:hyperlink>
      <w:r w:rsidR="00173470">
        <w:t xml:space="preserve"> </w:t>
      </w:r>
    </w:p>
    <w:p w14:paraId="16B4F158" w14:textId="37A07339" w:rsidR="00297BDE" w:rsidRPr="00901549" w:rsidRDefault="005E5A5B" w:rsidP="00253945">
      <w:pPr>
        <w:pStyle w:val="References"/>
        <w:rPr>
          <w:noProof/>
        </w:rPr>
      </w:pPr>
      <w:r w:rsidRPr="00901549">
        <w:rPr>
          <w:noProof/>
        </w:rPr>
        <w:t xml:space="preserve">Entwistle, N., &amp; Ramsden, P. (2015). </w:t>
      </w:r>
      <w:r w:rsidRPr="00901549">
        <w:rPr>
          <w:i/>
          <w:noProof/>
        </w:rPr>
        <w:t>Understanding student learning</w:t>
      </w:r>
      <w:r w:rsidRPr="00901549">
        <w:rPr>
          <w:noProof/>
        </w:rPr>
        <w:t xml:space="preserve"> (2nd ed.). New York: Routledge.</w:t>
      </w:r>
    </w:p>
    <w:p w14:paraId="369B73D1" w14:textId="0347BDAE" w:rsidR="00297BDE" w:rsidRPr="00901549" w:rsidRDefault="005E5A5B" w:rsidP="00253945">
      <w:pPr>
        <w:pStyle w:val="References"/>
        <w:rPr>
          <w:noProof/>
        </w:rPr>
      </w:pPr>
      <w:r w:rsidRPr="00901549">
        <w:rPr>
          <w:noProof/>
        </w:rPr>
        <w:t xml:space="preserve">ETL Project (Enhancing Teaching-Learning Environments in Undergraduate Courses). (n.d.). </w:t>
      </w:r>
      <w:r w:rsidRPr="00901549">
        <w:rPr>
          <w:i/>
          <w:noProof/>
        </w:rPr>
        <w:t>Approaches and Study Skills Inventory for Students (ASSIST)</w:t>
      </w:r>
      <w:r w:rsidRPr="00901549">
        <w:rPr>
          <w:noProof/>
        </w:rPr>
        <w:t xml:space="preserve"> [Measurement instrument]. Retrieved from </w:t>
      </w:r>
      <w:hyperlink r:id="rId29" w:history="1">
        <w:r w:rsidR="00173470" w:rsidRPr="00C93649">
          <w:rPr>
            <w:rStyle w:val="Hyperlink"/>
          </w:rPr>
          <w:t>http://www.etl.tla.ed.ac.uk/publications.html</w:t>
        </w:r>
      </w:hyperlink>
      <w:r w:rsidR="00173470">
        <w:t xml:space="preserve"> </w:t>
      </w:r>
    </w:p>
    <w:p w14:paraId="04B6F145" w14:textId="24AE4651" w:rsidR="00297BDE" w:rsidRPr="00901549" w:rsidRDefault="005E5A5B" w:rsidP="00253945">
      <w:pPr>
        <w:pStyle w:val="References"/>
        <w:rPr>
          <w:rStyle w:val="Hyperlink"/>
          <w:rFonts w:eastAsiaTheme="majorEastAsia"/>
          <w:color w:val="auto"/>
          <w:szCs w:val="22"/>
        </w:rPr>
      </w:pPr>
      <w:r w:rsidRPr="00901549">
        <w:rPr>
          <w:noProof/>
        </w:rPr>
        <w:t xml:space="preserve">Gordon, C., &amp; Debus, R. (2002). Developing deep learning approaches and personal teaching efficacy within a preservice teacher education context. </w:t>
      </w:r>
      <w:r w:rsidRPr="00901549">
        <w:rPr>
          <w:i/>
          <w:iCs/>
          <w:noProof/>
        </w:rPr>
        <w:t>British Journal of Educational Psychology</w:t>
      </w:r>
      <w:r w:rsidRPr="00901549">
        <w:rPr>
          <w:noProof/>
        </w:rPr>
        <w:t xml:space="preserve">, </w:t>
      </w:r>
      <w:r w:rsidRPr="00901549">
        <w:rPr>
          <w:i/>
          <w:iCs/>
          <w:noProof/>
        </w:rPr>
        <w:t>72</w:t>
      </w:r>
      <w:r w:rsidRPr="00901549">
        <w:rPr>
          <w:noProof/>
        </w:rPr>
        <w:t>, 483–511.</w:t>
      </w:r>
      <w:r w:rsidR="00175199" w:rsidRPr="00175199">
        <w:rPr>
          <w:szCs w:val="20"/>
        </w:rPr>
        <w:t xml:space="preserve"> </w:t>
      </w:r>
      <w:hyperlink r:id="rId30" w:tgtFrame="_blank" w:history="1">
        <w:r w:rsidR="00175199" w:rsidRPr="00D4506B">
          <w:rPr>
            <w:rStyle w:val="Hyperlink"/>
            <w:szCs w:val="20"/>
          </w:rPr>
          <w:t>https://doi.org/10.1348/00070990260377488</w:t>
        </w:r>
      </w:hyperlink>
    </w:p>
    <w:p w14:paraId="79529D75" w14:textId="77777777" w:rsidR="00297BDE" w:rsidRPr="006C5824" w:rsidRDefault="005E5A5B" w:rsidP="00253945">
      <w:pPr>
        <w:pStyle w:val="References"/>
        <w:rPr>
          <w:rStyle w:val="Hyperlink"/>
          <w:rFonts w:eastAsiaTheme="majorEastAsia"/>
          <w:color w:val="auto"/>
          <w:szCs w:val="22"/>
          <w:u w:val="none"/>
        </w:rPr>
      </w:pPr>
      <w:r w:rsidRPr="006C5824">
        <w:rPr>
          <w:rStyle w:val="Hyperlink"/>
          <w:rFonts w:eastAsiaTheme="majorEastAsia"/>
          <w:color w:val="auto"/>
          <w:szCs w:val="22"/>
          <w:u w:val="none"/>
        </w:rPr>
        <w:t xml:space="preserve">Kim, C.-M., Park, S. W., </w:t>
      </w:r>
      <w:proofErr w:type="spellStart"/>
      <w:r w:rsidRPr="006C5824">
        <w:rPr>
          <w:rStyle w:val="Hyperlink"/>
          <w:rFonts w:eastAsiaTheme="majorEastAsia"/>
          <w:color w:val="auto"/>
          <w:szCs w:val="22"/>
          <w:u w:val="none"/>
        </w:rPr>
        <w:t>Cozart</w:t>
      </w:r>
      <w:proofErr w:type="spellEnd"/>
      <w:r w:rsidRPr="006C5824">
        <w:rPr>
          <w:rStyle w:val="Hyperlink"/>
          <w:rFonts w:eastAsiaTheme="majorEastAsia"/>
          <w:color w:val="auto"/>
          <w:szCs w:val="22"/>
          <w:u w:val="none"/>
        </w:rPr>
        <w:t>, J., &amp; Lee, H. (2015). From motivation to engagement: The role of effort reg</w:t>
      </w:r>
      <w:r w:rsidRPr="006C5824">
        <w:rPr>
          <w:rStyle w:val="Hyperlink"/>
          <w:rFonts w:eastAsiaTheme="majorEastAsia"/>
          <w:color w:val="auto"/>
          <w:szCs w:val="22"/>
          <w:u w:val="none"/>
        </w:rPr>
        <w:t>u</w:t>
      </w:r>
      <w:r w:rsidRPr="006C5824">
        <w:rPr>
          <w:rStyle w:val="Hyperlink"/>
          <w:rFonts w:eastAsiaTheme="majorEastAsia"/>
          <w:color w:val="auto"/>
          <w:szCs w:val="22"/>
          <w:u w:val="none"/>
        </w:rPr>
        <w:t xml:space="preserve">lation of virtual high school students in mathematics courses. </w:t>
      </w:r>
      <w:r w:rsidRPr="006C5824">
        <w:rPr>
          <w:rStyle w:val="Hyperlink"/>
          <w:rFonts w:eastAsiaTheme="majorEastAsia"/>
          <w:i/>
          <w:color w:val="auto"/>
          <w:szCs w:val="22"/>
          <w:u w:val="none"/>
        </w:rPr>
        <w:t>Educational Technology &amp; Society, 18</w:t>
      </w:r>
      <w:r w:rsidRPr="006C5824">
        <w:rPr>
          <w:rStyle w:val="Hyperlink"/>
          <w:rFonts w:eastAsiaTheme="majorEastAsia"/>
          <w:color w:val="auto"/>
          <w:szCs w:val="22"/>
          <w:u w:val="none"/>
        </w:rPr>
        <w:t>, 261–272.</w:t>
      </w:r>
    </w:p>
    <w:p w14:paraId="716F96F3" w14:textId="2690B3C7" w:rsidR="00297BDE" w:rsidRPr="00901549" w:rsidRDefault="005E5A5B" w:rsidP="00253945">
      <w:pPr>
        <w:pStyle w:val="References"/>
      </w:pPr>
      <w:proofErr w:type="spellStart"/>
      <w:r w:rsidRPr="006C5824">
        <w:rPr>
          <w:rStyle w:val="Hyperlink"/>
          <w:rFonts w:eastAsiaTheme="majorEastAsia"/>
          <w:color w:val="auto"/>
          <w:szCs w:val="22"/>
          <w:u w:val="none"/>
        </w:rPr>
        <w:t>Kizilcec</w:t>
      </w:r>
      <w:proofErr w:type="spellEnd"/>
      <w:r w:rsidRPr="006C5824">
        <w:rPr>
          <w:rStyle w:val="Hyperlink"/>
          <w:rFonts w:eastAsiaTheme="majorEastAsia"/>
          <w:color w:val="auto"/>
          <w:szCs w:val="22"/>
          <w:u w:val="none"/>
        </w:rPr>
        <w:t xml:space="preserve">, R. F., </w:t>
      </w:r>
      <w:proofErr w:type="spellStart"/>
      <w:r w:rsidRPr="006C5824">
        <w:rPr>
          <w:rStyle w:val="Hyperlink"/>
          <w:rFonts w:eastAsiaTheme="majorEastAsia"/>
          <w:color w:val="auto"/>
          <w:szCs w:val="22"/>
          <w:u w:val="none"/>
        </w:rPr>
        <w:t>Piech</w:t>
      </w:r>
      <w:proofErr w:type="spellEnd"/>
      <w:r w:rsidRPr="006C5824">
        <w:rPr>
          <w:rStyle w:val="Hyperlink"/>
          <w:rFonts w:eastAsiaTheme="majorEastAsia"/>
          <w:color w:val="auto"/>
          <w:szCs w:val="22"/>
          <w:u w:val="none"/>
        </w:rPr>
        <w:t>, C., &amp; Schneider, E. (2013). Deconstructing disengagement: Analyzing learning subpop</w:t>
      </w:r>
      <w:r w:rsidRPr="006C5824">
        <w:rPr>
          <w:rStyle w:val="Hyperlink"/>
          <w:rFonts w:eastAsiaTheme="majorEastAsia"/>
          <w:color w:val="auto"/>
          <w:szCs w:val="22"/>
          <w:u w:val="none"/>
        </w:rPr>
        <w:t>u</w:t>
      </w:r>
      <w:r w:rsidRPr="006C5824">
        <w:rPr>
          <w:rStyle w:val="Hyperlink"/>
          <w:rFonts w:eastAsiaTheme="majorEastAsia"/>
          <w:color w:val="auto"/>
          <w:szCs w:val="22"/>
          <w:u w:val="none"/>
        </w:rPr>
        <w:t xml:space="preserve">lations in massive open online courses. In D. </w:t>
      </w:r>
      <w:proofErr w:type="spellStart"/>
      <w:r w:rsidRPr="006C5824">
        <w:rPr>
          <w:rStyle w:val="Hyperlink"/>
          <w:rFonts w:eastAsiaTheme="majorEastAsia"/>
          <w:color w:val="auto"/>
          <w:szCs w:val="22"/>
          <w:u w:val="none"/>
        </w:rPr>
        <w:t>Suthers</w:t>
      </w:r>
      <w:proofErr w:type="spellEnd"/>
      <w:r w:rsidRPr="006C5824">
        <w:rPr>
          <w:rStyle w:val="Hyperlink"/>
          <w:rFonts w:eastAsiaTheme="majorEastAsia"/>
          <w:color w:val="auto"/>
          <w:szCs w:val="22"/>
          <w:u w:val="none"/>
        </w:rPr>
        <w:t xml:space="preserve">, K. </w:t>
      </w:r>
      <w:proofErr w:type="spellStart"/>
      <w:r w:rsidRPr="006C5824">
        <w:rPr>
          <w:rStyle w:val="Hyperlink"/>
          <w:rFonts w:eastAsiaTheme="majorEastAsia"/>
          <w:color w:val="auto"/>
          <w:szCs w:val="22"/>
          <w:u w:val="none"/>
        </w:rPr>
        <w:t>Verbert</w:t>
      </w:r>
      <w:proofErr w:type="spellEnd"/>
      <w:r w:rsidRPr="006C5824">
        <w:rPr>
          <w:rStyle w:val="Hyperlink"/>
          <w:rFonts w:eastAsiaTheme="majorEastAsia"/>
          <w:color w:val="auto"/>
          <w:szCs w:val="22"/>
          <w:u w:val="none"/>
        </w:rPr>
        <w:t xml:space="preserve">, E. Duval, &amp; X. Ochoa (Eds.), </w:t>
      </w:r>
      <w:r w:rsidRPr="006C5824">
        <w:rPr>
          <w:rStyle w:val="Hyperlink"/>
          <w:rFonts w:eastAsiaTheme="majorEastAsia"/>
          <w:i/>
          <w:color w:val="auto"/>
          <w:szCs w:val="22"/>
          <w:u w:val="none"/>
        </w:rPr>
        <w:t xml:space="preserve">Proceedings of the Third International Conference on Learning Analytics and Knowledge, LAK 2013 </w:t>
      </w:r>
      <w:r w:rsidRPr="006C5824">
        <w:rPr>
          <w:rStyle w:val="Hyperlink"/>
          <w:rFonts w:eastAsiaTheme="majorEastAsia"/>
          <w:color w:val="auto"/>
          <w:szCs w:val="22"/>
          <w:u w:val="none"/>
        </w:rPr>
        <w:t>(pp. 170–179). New York: ACM.</w:t>
      </w:r>
      <w:r w:rsidR="00175199" w:rsidRPr="00175199">
        <w:rPr>
          <w:szCs w:val="20"/>
        </w:rPr>
        <w:t xml:space="preserve"> </w:t>
      </w:r>
      <w:hyperlink r:id="rId31" w:tgtFrame="_blank" w:history="1">
        <w:r w:rsidR="00175199" w:rsidRPr="00D4506B">
          <w:rPr>
            <w:rStyle w:val="Hyperlink"/>
            <w:szCs w:val="20"/>
          </w:rPr>
          <w:t>https://doi.org/10.1145/2460296.2460330</w:t>
        </w:r>
      </w:hyperlink>
    </w:p>
    <w:p w14:paraId="60FED572" w14:textId="5F469438" w:rsidR="00297BDE" w:rsidRPr="00901549" w:rsidRDefault="005E5A5B" w:rsidP="00253945">
      <w:pPr>
        <w:pStyle w:val="References"/>
      </w:pPr>
      <w:proofErr w:type="spellStart"/>
      <w:r w:rsidRPr="00901549">
        <w:lastRenderedPageBreak/>
        <w:t>Koutsomitropoulos</w:t>
      </w:r>
      <w:proofErr w:type="spellEnd"/>
      <w:r w:rsidRPr="00901549">
        <w:t xml:space="preserve">, D., &amp; </w:t>
      </w:r>
      <w:proofErr w:type="spellStart"/>
      <w:r w:rsidRPr="00901549">
        <w:t>Solomou</w:t>
      </w:r>
      <w:proofErr w:type="spellEnd"/>
      <w:r w:rsidRPr="00901549">
        <w:t>, G. (2018)</w:t>
      </w:r>
      <w:r w:rsidR="00AB40BE" w:rsidRPr="00901549">
        <w:t>.</w:t>
      </w:r>
      <w:r w:rsidRPr="00901549">
        <w:t xml:space="preserve"> A learning object ontology repository to support annotation and discovery of educational resources using semantic thesauri. </w:t>
      </w:r>
      <w:r w:rsidRPr="00901549">
        <w:rPr>
          <w:i/>
        </w:rPr>
        <w:t>IFLA Journal</w:t>
      </w:r>
      <w:r w:rsidR="00AB40BE" w:rsidRPr="00901549">
        <w:rPr>
          <w:i/>
        </w:rPr>
        <w:t>,</w:t>
      </w:r>
      <w:r w:rsidRPr="00901549">
        <w:rPr>
          <w:i/>
        </w:rPr>
        <w:t xml:space="preserve"> 44</w:t>
      </w:r>
      <w:r w:rsidRPr="00901549">
        <w:t>, 4</w:t>
      </w:r>
      <w:r w:rsidR="00AB40BE" w:rsidRPr="00901549">
        <w:t>–</w:t>
      </w:r>
      <w:r w:rsidRPr="00901549">
        <w:t>22.</w:t>
      </w:r>
      <w:r w:rsidR="00175199" w:rsidRPr="00175199">
        <w:rPr>
          <w:szCs w:val="20"/>
        </w:rPr>
        <w:t xml:space="preserve"> </w:t>
      </w:r>
      <w:hyperlink r:id="rId32" w:tgtFrame="_blank" w:history="1">
        <w:r w:rsidR="00175199" w:rsidRPr="00D4506B">
          <w:rPr>
            <w:rStyle w:val="Hyperlink"/>
            <w:szCs w:val="20"/>
          </w:rPr>
          <w:t>https://doi.org/10.1177/0340035217737559</w:t>
        </w:r>
      </w:hyperlink>
    </w:p>
    <w:p w14:paraId="740F78E9" w14:textId="109E7669" w:rsidR="00175199" w:rsidRDefault="005E5A5B" w:rsidP="00253945">
      <w:pPr>
        <w:pStyle w:val="References"/>
      </w:pPr>
      <w:proofErr w:type="spellStart"/>
      <w:r w:rsidRPr="00901549">
        <w:t>Kur</w:t>
      </w:r>
      <w:r w:rsidR="00845555">
        <w:t>s</w:t>
      </w:r>
      <w:r w:rsidRPr="00901549">
        <w:t>un</w:t>
      </w:r>
      <w:proofErr w:type="spellEnd"/>
      <w:r w:rsidRPr="00901549">
        <w:t xml:space="preserve">, E. (2016). Does formal credit work for MOOC-like </w:t>
      </w:r>
      <w:r w:rsidR="00AB40BE" w:rsidRPr="00901549">
        <w:t>l</w:t>
      </w:r>
      <w:r w:rsidRPr="00901549">
        <w:t xml:space="preserve">earning environments? </w:t>
      </w:r>
      <w:r w:rsidRPr="00901549">
        <w:rPr>
          <w:i/>
        </w:rPr>
        <w:t>International Review of Research in Open and Distributed Learning, 17</w:t>
      </w:r>
      <w:r w:rsidRPr="00901549">
        <w:t xml:space="preserve">(3). </w:t>
      </w:r>
      <w:hyperlink r:id="rId33" w:tgtFrame="_blank" w:history="1">
        <w:r w:rsidR="00175199" w:rsidRPr="00D4506B">
          <w:rPr>
            <w:rStyle w:val="Hyperlink"/>
            <w:szCs w:val="20"/>
          </w:rPr>
          <w:t>https://doi.org/10.19173/irrodl.v17i3.2403</w:t>
        </w:r>
      </w:hyperlink>
    </w:p>
    <w:p w14:paraId="754CC8B3" w14:textId="1DBC7F21" w:rsidR="00175199" w:rsidRDefault="005E5A5B" w:rsidP="00253945">
      <w:pPr>
        <w:pStyle w:val="References"/>
        <w:rPr>
          <w:noProof/>
        </w:rPr>
      </w:pPr>
      <w:r w:rsidRPr="00901549">
        <w:rPr>
          <w:noProof/>
        </w:rPr>
        <w:t xml:space="preserve">Madhulatha, T. S. (2012). An overview on clustering methods. </w:t>
      </w:r>
      <w:r w:rsidRPr="00901549">
        <w:rPr>
          <w:i/>
          <w:noProof/>
        </w:rPr>
        <w:t>IOSR Journal of Engineering, 2</w:t>
      </w:r>
      <w:r w:rsidRPr="00901549">
        <w:rPr>
          <w:noProof/>
        </w:rPr>
        <w:t xml:space="preserve">, 719–725. </w:t>
      </w:r>
      <w:hyperlink r:id="rId34" w:tgtFrame="_blank" w:history="1">
        <w:r w:rsidR="00175199" w:rsidRPr="00D4506B">
          <w:rPr>
            <w:rStyle w:val="Hyperlink"/>
            <w:szCs w:val="20"/>
          </w:rPr>
          <w:t>https://doi.org/10.9790/3021-0204719725</w:t>
        </w:r>
      </w:hyperlink>
    </w:p>
    <w:p w14:paraId="6AB7B463" w14:textId="099F4BF3" w:rsidR="00297BDE" w:rsidRPr="00901549" w:rsidRDefault="005E5A5B" w:rsidP="00253945">
      <w:pPr>
        <w:pStyle w:val="References"/>
      </w:pPr>
      <w:proofErr w:type="spellStart"/>
      <w:r w:rsidRPr="00901549">
        <w:t>Marton</w:t>
      </w:r>
      <w:proofErr w:type="spellEnd"/>
      <w:r w:rsidRPr="00901549">
        <w:t xml:space="preserve">, F., &amp; </w:t>
      </w:r>
      <w:r w:rsidRPr="00901549">
        <w:rPr>
          <w:noProof/>
        </w:rPr>
        <w:t xml:space="preserve">Säljö, R. (1976). On qualitative differences in learning: I–Outcome and process. </w:t>
      </w:r>
      <w:r w:rsidRPr="00901549">
        <w:rPr>
          <w:i/>
          <w:noProof/>
        </w:rPr>
        <w:t>British Journal of Educational Psychology, 46</w:t>
      </w:r>
      <w:r w:rsidRPr="00901549">
        <w:rPr>
          <w:noProof/>
        </w:rPr>
        <w:t>, 4–11.</w:t>
      </w:r>
      <w:r w:rsidR="00175199" w:rsidRPr="00175199">
        <w:rPr>
          <w:szCs w:val="20"/>
        </w:rPr>
        <w:t xml:space="preserve"> </w:t>
      </w:r>
      <w:hyperlink r:id="rId35" w:tgtFrame="_blank" w:history="1">
        <w:r w:rsidR="00175199" w:rsidRPr="00D4506B">
          <w:rPr>
            <w:rStyle w:val="Hyperlink"/>
            <w:szCs w:val="20"/>
          </w:rPr>
          <w:t>https://doi.org/10.1111/j.2044-8279.1976.tb02980.x</w:t>
        </w:r>
      </w:hyperlink>
    </w:p>
    <w:p w14:paraId="24903898" w14:textId="77777777" w:rsidR="00297BDE" w:rsidRPr="00901549" w:rsidRDefault="005E5A5B" w:rsidP="00253945">
      <w:pPr>
        <w:pStyle w:val="References"/>
      </w:pPr>
      <w:r w:rsidRPr="00901549">
        <w:t xml:space="preserve">Miller, L. D., </w:t>
      </w:r>
      <w:proofErr w:type="spellStart"/>
      <w:r w:rsidRPr="00901549">
        <w:t>Soh</w:t>
      </w:r>
      <w:proofErr w:type="spellEnd"/>
      <w:r w:rsidRPr="00901549">
        <w:t xml:space="preserve">, L.-K., </w:t>
      </w:r>
      <w:proofErr w:type="spellStart"/>
      <w:r w:rsidRPr="00901549">
        <w:t>Samal</w:t>
      </w:r>
      <w:proofErr w:type="spellEnd"/>
      <w:r w:rsidRPr="00901549">
        <w:t xml:space="preserve">, A., </w:t>
      </w:r>
      <w:proofErr w:type="spellStart"/>
      <w:r w:rsidRPr="00901549">
        <w:t>Kupzyk</w:t>
      </w:r>
      <w:proofErr w:type="spellEnd"/>
      <w:r w:rsidRPr="00901549">
        <w:t xml:space="preserve">, K., &amp; Nugent, G. (2015). A comparison of educational statistics and data mining approaches to identify characteristics that impact online learning. </w:t>
      </w:r>
      <w:r w:rsidRPr="00901549">
        <w:rPr>
          <w:i/>
        </w:rPr>
        <w:t>Journal of Educational D</w:t>
      </w:r>
      <w:r w:rsidRPr="00901549">
        <w:rPr>
          <w:i/>
        </w:rPr>
        <w:t>a</w:t>
      </w:r>
      <w:r w:rsidRPr="00901549">
        <w:rPr>
          <w:i/>
        </w:rPr>
        <w:t>ta Mining, 7</w:t>
      </w:r>
      <w:r w:rsidRPr="00901549">
        <w:t>, 117–150.</w:t>
      </w:r>
    </w:p>
    <w:p w14:paraId="4BD7F802" w14:textId="36653162" w:rsidR="00297BDE" w:rsidRPr="00901549" w:rsidRDefault="005E5A5B" w:rsidP="00253945">
      <w:pPr>
        <w:pStyle w:val="References"/>
      </w:pPr>
      <w:proofErr w:type="spellStart"/>
      <w:r w:rsidRPr="00901549">
        <w:t>Namuth</w:t>
      </w:r>
      <w:proofErr w:type="spellEnd"/>
      <w:r w:rsidRPr="00901549">
        <w:t>, D., Fritz, S., King, J.</w:t>
      </w:r>
      <w:r w:rsidR="00740FC3" w:rsidRPr="00901549">
        <w:t>,</w:t>
      </w:r>
      <w:r w:rsidRPr="00901549">
        <w:t xml:space="preserve"> &amp; Boren, A. (2005). Principles of </w:t>
      </w:r>
      <w:r w:rsidR="00740FC3" w:rsidRPr="00901549">
        <w:t>s</w:t>
      </w:r>
      <w:r w:rsidRPr="00901549">
        <w:t xml:space="preserve">ustainable </w:t>
      </w:r>
      <w:r w:rsidR="00740FC3" w:rsidRPr="00901549">
        <w:t>l</w:t>
      </w:r>
      <w:r w:rsidRPr="00901549">
        <w:t xml:space="preserve">earning </w:t>
      </w:r>
      <w:r w:rsidR="00740FC3" w:rsidRPr="00901549">
        <w:t>o</w:t>
      </w:r>
      <w:r w:rsidRPr="00901549">
        <w:t xml:space="preserve">bject </w:t>
      </w:r>
      <w:r w:rsidR="00740FC3" w:rsidRPr="00901549">
        <w:t>l</w:t>
      </w:r>
      <w:r w:rsidRPr="00901549">
        <w:t xml:space="preserve">ibraries. </w:t>
      </w:r>
      <w:r w:rsidRPr="00175199">
        <w:rPr>
          <w:i/>
        </w:rPr>
        <w:t>Interdisc</w:t>
      </w:r>
      <w:r w:rsidRPr="00175199">
        <w:rPr>
          <w:i/>
        </w:rPr>
        <w:t>i</w:t>
      </w:r>
      <w:r w:rsidRPr="00175199">
        <w:rPr>
          <w:i/>
        </w:rPr>
        <w:t>plinary</w:t>
      </w:r>
      <w:r w:rsidRPr="00901549">
        <w:rPr>
          <w:i/>
        </w:rPr>
        <w:t xml:space="preserve"> Journal of E-Learning and Learning Objects</w:t>
      </w:r>
      <w:r w:rsidR="00740FC3" w:rsidRPr="00901549">
        <w:t>,</w:t>
      </w:r>
      <w:r w:rsidRPr="00901549">
        <w:t xml:space="preserve"> 1, 181</w:t>
      </w:r>
      <w:r w:rsidR="00740FC3" w:rsidRPr="00901549">
        <w:t>–</w:t>
      </w:r>
      <w:r w:rsidRPr="00901549">
        <w:t xml:space="preserve">196. </w:t>
      </w:r>
      <w:hyperlink r:id="rId36" w:tgtFrame="_blank" w:history="1">
        <w:r w:rsidR="00175199" w:rsidRPr="00D4506B">
          <w:rPr>
            <w:rStyle w:val="Hyperlink"/>
            <w:szCs w:val="20"/>
          </w:rPr>
          <w:t>https://doi.org/10.28945/419</w:t>
        </w:r>
      </w:hyperlink>
    </w:p>
    <w:p w14:paraId="375247EF" w14:textId="5B466B72" w:rsidR="00297BDE" w:rsidRPr="00901549" w:rsidRDefault="005E5A5B" w:rsidP="00253945">
      <w:pPr>
        <w:pStyle w:val="References"/>
      </w:pPr>
      <w:r w:rsidRPr="00901549">
        <w:t xml:space="preserve">Nugent, G., </w:t>
      </w:r>
      <w:proofErr w:type="spellStart"/>
      <w:r w:rsidRPr="00901549">
        <w:t>Namuth</w:t>
      </w:r>
      <w:proofErr w:type="spellEnd"/>
      <w:r w:rsidRPr="00901549">
        <w:t xml:space="preserve">-Covert, D., Murphy, P., </w:t>
      </w:r>
      <w:proofErr w:type="spellStart"/>
      <w:r w:rsidRPr="00901549">
        <w:t>Kohmetscher</w:t>
      </w:r>
      <w:proofErr w:type="spellEnd"/>
      <w:r w:rsidRPr="00901549">
        <w:t xml:space="preserve">, A., </w:t>
      </w:r>
      <w:proofErr w:type="spellStart"/>
      <w:r w:rsidRPr="00901549">
        <w:t>Guretzky</w:t>
      </w:r>
      <w:proofErr w:type="spellEnd"/>
      <w:r w:rsidRPr="00901549">
        <w:t>, J.</w:t>
      </w:r>
      <w:r w:rsidR="00740FC3" w:rsidRPr="00901549">
        <w:t>,</w:t>
      </w:r>
      <w:r w:rsidRPr="00901549">
        <w:t xml:space="preserve"> &amp; Lee, D. (2016). Learning from </w:t>
      </w:r>
      <w:r w:rsidR="00740FC3" w:rsidRPr="00901549">
        <w:t>o</w:t>
      </w:r>
      <w:r w:rsidRPr="00901549">
        <w:t xml:space="preserve">nline </w:t>
      </w:r>
      <w:r w:rsidR="00740FC3" w:rsidRPr="00901549">
        <w:t>m</w:t>
      </w:r>
      <w:r w:rsidRPr="00901549">
        <w:t xml:space="preserve">odules in </w:t>
      </w:r>
      <w:r w:rsidR="00740FC3" w:rsidRPr="00901549">
        <w:t>d</w:t>
      </w:r>
      <w:r w:rsidRPr="00901549">
        <w:t xml:space="preserve">iverse </w:t>
      </w:r>
      <w:r w:rsidR="00740FC3" w:rsidRPr="00901549">
        <w:t>i</w:t>
      </w:r>
      <w:r w:rsidRPr="00901549">
        <w:t xml:space="preserve">nstructional </w:t>
      </w:r>
      <w:r w:rsidR="00740FC3" w:rsidRPr="00901549">
        <w:t>c</w:t>
      </w:r>
      <w:r w:rsidRPr="00901549">
        <w:t xml:space="preserve">ontexts. </w:t>
      </w:r>
      <w:r w:rsidRPr="00D170D9">
        <w:rPr>
          <w:i/>
        </w:rPr>
        <w:t>Interdisciplinary</w:t>
      </w:r>
      <w:r w:rsidRPr="00901549">
        <w:rPr>
          <w:i/>
        </w:rPr>
        <w:t xml:space="preserve"> Journal of E-Learning &amp; Learning Objects</w:t>
      </w:r>
      <w:r w:rsidR="00740FC3" w:rsidRPr="00901549">
        <w:rPr>
          <w:i/>
        </w:rPr>
        <w:t>,</w:t>
      </w:r>
      <w:r w:rsidRPr="00901549">
        <w:rPr>
          <w:i/>
        </w:rPr>
        <w:t xml:space="preserve"> 12</w:t>
      </w:r>
      <w:r w:rsidRPr="00901549">
        <w:t>, 113</w:t>
      </w:r>
      <w:r w:rsidR="001C39FB">
        <w:t>-121</w:t>
      </w:r>
      <w:r w:rsidRPr="00901549">
        <w:t>.</w:t>
      </w:r>
      <w:r w:rsidR="00D170D9" w:rsidRPr="00D170D9">
        <w:rPr>
          <w:szCs w:val="20"/>
        </w:rPr>
        <w:t xml:space="preserve"> </w:t>
      </w:r>
      <w:hyperlink r:id="rId37" w:tgtFrame="_blank" w:history="1">
        <w:r w:rsidR="00D170D9" w:rsidRPr="00D4506B">
          <w:rPr>
            <w:rStyle w:val="Hyperlink"/>
            <w:szCs w:val="20"/>
          </w:rPr>
          <w:t>https://doi.org/10.28945/3511</w:t>
        </w:r>
      </w:hyperlink>
    </w:p>
    <w:p w14:paraId="6A9E622E" w14:textId="60512529" w:rsidR="00297BDE" w:rsidRPr="00901549" w:rsidRDefault="005E5A5B" w:rsidP="00253945">
      <w:pPr>
        <w:pStyle w:val="References"/>
      </w:pPr>
      <w:r w:rsidRPr="00901549">
        <w:t xml:space="preserve">Nugent, G., Lester, H., Guru, A., </w:t>
      </w:r>
      <w:proofErr w:type="spellStart"/>
      <w:r w:rsidRPr="00901549">
        <w:t>Kohmetscher</w:t>
      </w:r>
      <w:proofErr w:type="spellEnd"/>
      <w:r w:rsidRPr="00901549">
        <w:t xml:space="preserve">, A., </w:t>
      </w:r>
      <w:proofErr w:type="spellStart"/>
      <w:r w:rsidRPr="00901549">
        <w:t>Namuth</w:t>
      </w:r>
      <w:proofErr w:type="spellEnd"/>
      <w:r w:rsidRPr="00901549">
        <w:t>-Covert, D., &amp; Jolly, S. (2017, July). Predictive an</w:t>
      </w:r>
      <w:r w:rsidRPr="00901549">
        <w:t>a</w:t>
      </w:r>
      <w:r w:rsidRPr="00901549">
        <w:t xml:space="preserve">lytics for learning and usage of the plant sciences e-library. In </w:t>
      </w:r>
      <w:r w:rsidRPr="00901549">
        <w:rPr>
          <w:i/>
        </w:rPr>
        <w:t>Proceedings of the IEEE 2017 Computing Co</w:t>
      </w:r>
      <w:r w:rsidRPr="00901549">
        <w:rPr>
          <w:i/>
        </w:rPr>
        <w:t>n</w:t>
      </w:r>
      <w:r w:rsidRPr="00901549">
        <w:rPr>
          <w:i/>
        </w:rPr>
        <w:t xml:space="preserve">ference, London, UK. </w:t>
      </w:r>
      <w:hyperlink r:id="rId38" w:history="1">
        <w:r w:rsidR="00173470" w:rsidRPr="00C93649">
          <w:rPr>
            <w:rStyle w:val="Hyperlink"/>
          </w:rPr>
          <w:t>https://doi.org/10.1109/SAI.2017.8252237</w:t>
        </w:r>
      </w:hyperlink>
      <w:r w:rsidR="00173470">
        <w:t xml:space="preserve"> </w:t>
      </w:r>
    </w:p>
    <w:p w14:paraId="59296E0E" w14:textId="77777777" w:rsidR="00297BDE" w:rsidRPr="00901549" w:rsidRDefault="005E5A5B" w:rsidP="00253945">
      <w:pPr>
        <w:pStyle w:val="References"/>
      </w:pPr>
      <w:proofErr w:type="spellStart"/>
      <w:r w:rsidRPr="00901549">
        <w:t>Pintrich</w:t>
      </w:r>
      <w:proofErr w:type="spellEnd"/>
      <w:r w:rsidRPr="00901549">
        <w:t xml:space="preserve">, P. R., Smith, D. A. F., </w:t>
      </w:r>
      <w:proofErr w:type="spellStart"/>
      <w:r w:rsidRPr="00901549">
        <w:t>García</w:t>
      </w:r>
      <w:proofErr w:type="spellEnd"/>
      <w:r w:rsidRPr="00901549">
        <w:t xml:space="preserve">, T., &amp; </w:t>
      </w:r>
      <w:proofErr w:type="spellStart"/>
      <w:r w:rsidRPr="00901549">
        <w:t>McKeachie</w:t>
      </w:r>
      <w:proofErr w:type="spellEnd"/>
      <w:r w:rsidRPr="00901549">
        <w:t xml:space="preserve">, W. J. (1991). </w:t>
      </w:r>
      <w:r w:rsidRPr="00901549">
        <w:rPr>
          <w:i/>
        </w:rPr>
        <w:t xml:space="preserve">A manual for the use of the Motivated Strategies for Learning Questionnaire (MSLQ). </w:t>
      </w:r>
      <w:r w:rsidRPr="00901549">
        <w:t>Ann Arbor, MI: University of Michigan, National Center for Research to Improve Postsecondary Teaching and Learning.</w:t>
      </w:r>
    </w:p>
    <w:p w14:paraId="256FE5C8" w14:textId="51581F1C" w:rsidR="00297BDE" w:rsidRPr="00901549" w:rsidRDefault="005E5A5B" w:rsidP="00253945">
      <w:pPr>
        <w:pStyle w:val="References"/>
      </w:pPr>
      <w:proofErr w:type="spellStart"/>
      <w:r w:rsidRPr="00901549">
        <w:t>Puzziferro</w:t>
      </w:r>
      <w:proofErr w:type="spellEnd"/>
      <w:r w:rsidRPr="00901549">
        <w:t xml:space="preserve">, M. (2008). Online technologies self-efficacy and self-regulated learning as predictors of final grade and satisfaction in college-level online courses. </w:t>
      </w:r>
      <w:r w:rsidRPr="00901549">
        <w:rPr>
          <w:i/>
        </w:rPr>
        <w:t>American Journal of Distance Education, 22</w:t>
      </w:r>
      <w:r w:rsidRPr="00901549">
        <w:t>, 72–89.</w:t>
      </w:r>
      <w:r w:rsidR="00D170D9" w:rsidRPr="00D170D9">
        <w:rPr>
          <w:szCs w:val="20"/>
        </w:rPr>
        <w:t xml:space="preserve"> </w:t>
      </w:r>
      <w:hyperlink r:id="rId39" w:tgtFrame="_blank" w:history="1">
        <w:r w:rsidR="00D170D9" w:rsidRPr="00D4506B">
          <w:rPr>
            <w:rStyle w:val="Hyperlink"/>
            <w:szCs w:val="20"/>
          </w:rPr>
          <w:t>https://doi.org/10.1080/08923640802039024</w:t>
        </w:r>
      </w:hyperlink>
    </w:p>
    <w:p w14:paraId="50CEE333" w14:textId="77777777" w:rsidR="005E5A5B" w:rsidRPr="00901549" w:rsidRDefault="005E5A5B" w:rsidP="00253945">
      <w:pPr>
        <w:pStyle w:val="References"/>
      </w:pPr>
      <w:r w:rsidRPr="00901549">
        <w:t xml:space="preserve">Simpson, </w:t>
      </w:r>
      <w:r w:rsidR="00DC5E68" w:rsidRPr="00901549">
        <w:t>S</w:t>
      </w:r>
      <w:r w:rsidRPr="00901549">
        <w:t>. (2016</w:t>
      </w:r>
      <w:r w:rsidR="00DC5E68" w:rsidRPr="00901549">
        <w:t>, June</w:t>
      </w:r>
      <w:r w:rsidRPr="00901549">
        <w:t>)</w:t>
      </w:r>
      <w:r w:rsidR="00DC5E68" w:rsidRPr="00901549">
        <w:t>.</w:t>
      </w:r>
      <w:r w:rsidRPr="00901549">
        <w:rPr>
          <w:i/>
        </w:rPr>
        <w:t xml:space="preserve"> History, </w:t>
      </w:r>
      <w:r w:rsidR="00DC5E68" w:rsidRPr="00901549">
        <w:rPr>
          <w:i/>
        </w:rPr>
        <w:t>c</w:t>
      </w:r>
      <w:r w:rsidRPr="00901549">
        <w:rPr>
          <w:i/>
        </w:rPr>
        <w:t xml:space="preserve">ontext, </w:t>
      </w:r>
      <w:r w:rsidR="00DC5E68" w:rsidRPr="00901549">
        <w:rPr>
          <w:i/>
        </w:rPr>
        <w:t>a</w:t>
      </w:r>
      <w:r w:rsidRPr="00901549">
        <w:rPr>
          <w:i/>
        </w:rPr>
        <w:t xml:space="preserve">nd </w:t>
      </w:r>
      <w:r w:rsidR="00DC5E68" w:rsidRPr="00901549">
        <w:rPr>
          <w:i/>
        </w:rPr>
        <w:t>p</w:t>
      </w:r>
      <w:r w:rsidRPr="00901549">
        <w:rPr>
          <w:i/>
        </w:rPr>
        <w:t xml:space="preserve">olicies </w:t>
      </w:r>
      <w:r w:rsidR="00DC5E68" w:rsidRPr="00901549">
        <w:rPr>
          <w:i/>
        </w:rPr>
        <w:t>o</w:t>
      </w:r>
      <w:r w:rsidRPr="00901549">
        <w:rPr>
          <w:i/>
        </w:rPr>
        <w:t xml:space="preserve">f </w:t>
      </w:r>
      <w:r w:rsidR="00DC5E68" w:rsidRPr="00901549">
        <w:rPr>
          <w:i/>
        </w:rPr>
        <w:t>a l</w:t>
      </w:r>
      <w:r w:rsidRPr="00901549">
        <w:rPr>
          <w:i/>
        </w:rPr>
        <w:t xml:space="preserve">earning </w:t>
      </w:r>
      <w:r w:rsidR="00DC5E68" w:rsidRPr="00901549">
        <w:rPr>
          <w:i/>
        </w:rPr>
        <w:t>o</w:t>
      </w:r>
      <w:r w:rsidRPr="00901549">
        <w:rPr>
          <w:i/>
        </w:rPr>
        <w:t xml:space="preserve">bject </w:t>
      </w:r>
      <w:r w:rsidR="00DC5E68" w:rsidRPr="00901549">
        <w:rPr>
          <w:i/>
        </w:rPr>
        <w:t>r</w:t>
      </w:r>
      <w:r w:rsidRPr="00901549">
        <w:rPr>
          <w:i/>
        </w:rPr>
        <w:t>epository.</w:t>
      </w:r>
      <w:r w:rsidRPr="00901549">
        <w:t xml:space="preserve"> P</w:t>
      </w:r>
      <w:r w:rsidR="00DC5E68" w:rsidRPr="00901549">
        <w:t>aper p</w:t>
      </w:r>
      <w:r w:rsidRPr="00901549">
        <w:t>resented to the Depar</w:t>
      </w:r>
      <w:r w:rsidRPr="00901549">
        <w:t>t</w:t>
      </w:r>
      <w:r w:rsidRPr="00901549">
        <w:t>ment of Educational Methodology, Policy, and Leadership</w:t>
      </w:r>
      <w:r w:rsidR="00DC5E68" w:rsidRPr="00901549">
        <w:t>, Eugene, OR.</w:t>
      </w:r>
    </w:p>
    <w:p w14:paraId="2BEF088D" w14:textId="77777777" w:rsidR="005E5A5B" w:rsidRPr="00901549" w:rsidRDefault="005E5A5B" w:rsidP="00253945">
      <w:pPr>
        <w:pStyle w:val="References"/>
      </w:pPr>
      <w:proofErr w:type="spellStart"/>
      <w:r w:rsidRPr="00901549">
        <w:t>Speth</w:t>
      </w:r>
      <w:proofErr w:type="spellEnd"/>
      <w:r w:rsidRPr="00901549">
        <w:t>, C. A., Lee, D. J., &amp; Hain, P. M. (2006). Prioritizing improvements in Internet instruction based on lear</w:t>
      </w:r>
      <w:r w:rsidRPr="00901549">
        <w:t>n</w:t>
      </w:r>
      <w:r w:rsidRPr="00901549">
        <w:t xml:space="preserve">ing styles and strategies. </w:t>
      </w:r>
      <w:r w:rsidRPr="00901549">
        <w:rPr>
          <w:i/>
        </w:rPr>
        <w:t>Journal of Natural Resources and Life Sciences Education, 35</w:t>
      </w:r>
      <w:r w:rsidRPr="00901549">
        <w:t>, 34–41.</w:t>
      </w:r>
    </w:p>
    <w:p w14:paraId="608E200B" w14:textId="47703AA9" w:rsidR="00D170D9" w:rsidRPr="00D170D9" w:rsidRDefault="005E5A5B" w:rsidP="00253945">
      <w:pPr>
        <w:pStyle w:val="References"/>
      </w:pPr>
      <w:proofErr w:type="spellStart"/>
      <w:r w:rsidRPr="00901549">
        <w:t>Speth</w:t>
      </w:r>
      <w:proofErr w:type="spellEnd"/>
      <w:r w:rsidRPr="00901549">
        <w:t xml:space="preserve">, C. A., </w:t>
      </w:r>
      <w:proofErr w:type="spellStart"/>
      <w:r w:rsidRPr="00901549">
        <w:t>Namuth</w:t>
      </w:r>
      <w:proofErr w:type="spellEnd"/>
      <w:r w:rsidRPr="00901549">
        <w:t>, D. M., &amp; Lee, D. J. (2007). Using the ASSIST short form for evaluating a learning object library: Validity and reliability issues.</w:t>
      </w:r>
      <w:r w:rsidRPr="00901549">
        <w:rPr>
          <w:rStyle w:val="Emphasis"/>
          <w:szCs w:val="22"/>
        </w:rPr>
        <w:t xml:space="preserve"> Informing Science: The </w:t>
      </w:r>
      <w:r w:rsidRPr="00D170D9">
        <w:rPr>
          <w:rStyle w:val="Emphasis"/>
          <w:szCs w:val="22"/>
        </w:rPr>
        <w:t>International</w:t>
      </w:r>
      <w:r w:rsidRPr="00901549">
        <w:rPr>
          <w:rStyle w:val="Emphasis"/>
          <w:szCs w:val="22"/>
        </w:rPr>
        <w:t xml:space="preserve"> Journal of an Emerging Transdiscipline, </w:t>
      </w:r>
      <w:r w:rsidRPr="00901549">
        <w:rPr>
          <w:i/>
        </w:rPr>
        <w:t>10</w:t>
      </w:r>
      <w:r w:rsidRPr="00901549">
        <w:t>, 107–119.</w:t>
      </w:r>
      <w:r w:rsidRPr="00901549">
        <w:rPr>
          <w:rStyle w:val="Emphasis"/>
          <w:szCs w:val="22"/>
        </w:rPr>
        <w:t xml:space="preserve"> </w:t>
      </w:r>
      <w:hyperlink r:id="rId40" w:tgtFrame="_blank" w:history="1">
        <w:r w:rsidR="00D170D9" w:rsidRPr="00D4506B">
          <w:rPr>
            <w:rStyle w:val="Hyperlink"/>
            <w:szCs w:val="20"/>
          </w:rPr>
          <w:t>https://doi.org/10.28945/459</w:t>
        </w:r>
      </w:hyperlink>
    </w:p>
    <w:p w14:paraId="6D257DB0" w14:textId="7FEF8D03" w:rsidR="00297BDE" w:rsidRPr="00901549" w:rsidRDefault="005E5A5B" w:rsidP="00253945">
      <w:pPr>
        <w:pStyle w:val="References"/>
      </w:pPr>
      <w:r w:rsidRPr="00901549">
        <w:rPr>
          <w:noProof/>
        </w:rPr>
        <w:t xml:space="preserve">Stallings, J. (1980). Allocated academic learning time revisited, or beyond time on task. </w:t>
      </w:r>
      <w:r w:rsidRPr="00901549">
        <w:rPr>
          <w:i/>
          <w:noProof/>
        </w:rPr>
        <w:t>Educational Research, 9</w:t>
      </w:r>
      <w:r w:rsidRPr="00901549">
        <w:rPr>
          <w:noProof/>
        </w:rPr>
        <w:t>, 11–16.</w:t>
      </w:r>
      <w:r w:rsidR="00B17091" w:rsidRPr="00B17091">
        <w:rPr>
          <w:szCs w:val="20"/>
        </w:rPr>
        <w:t xml:space="preserve"> </w:t>
      </w:r>
      <w:hyperlink r:id="rId41" w:tgtFrame="_blank" w:history="1">
        <w:r w:rsidR="00B17091" w:rsidRPr="00D4506B">
          <w:rPr>
            <w:rStyle w:val="Hyperlink"/>
            <w:szCs w:val="20"/>
          </w:rPr>
          <w:t>https://doi.org/10.3102/0013189X009011011</w:t>
        </w:r>
      </w:hyperlink>
    </w:p>
    <w:p w14:paraId="5253AA58" w14:textId="77777777" w:rsidR="00297BDE" w:rsidRPr="00901549" w:rsidRDefault="005E5A5B" w:rsidP="00253945">
      <w:pPr>
        <w:pStyle w:val="References"/>
      </w:pPr>
      <w:r w:rsidRPr="00901549">
        <w:t xml:space="preserve">Talavera, L., &amp; </w:t>
      </w:r>
      <w:proofErr w:type="spellStart"/>
      <w:r w:rsidRPr="00901549">
        <w:t>Gaudioso</w:t>
      </w:r>
      <w:proofErr w:type="spellEnd"/>
      <w:r w:rsidRPr="00901549">
        <w:t>, E. (2004). Mining student data to characterize similar behavior groups in unstru</w:t>
      </w:r>
      <w:r w:rsidRPr="00901549">
        <w:t>c</w:t>
      </w:r>
      <w:r w:rsidRPr="00901549">
        <w:t xml:space="preserve">tured collaboration spaces. In R. </w:t>
      </w:r>
      <w:proofErr w:type="spellStart"/>
      <w:r w:rsidRPr="00901549">
        <w:t>López</w:t>
      </w:r>
      <w:proofErr w:type="spellEnd"/>
      <w:r w:rsidRPr="00901549">
        <w:t xml:space="preserve"> de </w:t>
      </w:r>
      <w:proofErr w:type="spellStart"/>
      <w:r w:rsidRPr="00901549">
        <w:t>Mántaras</w:t>
      </w:r>
      <w:proofErr w:type="spellEnd"/>
      <w:r w:rsidRPr="00901549">
        <w:t xml:space="preserve"> &amp; L. </w:t>
      </w:r>
      <w:proofErr w:type="spellStart"/>
      <w:r w:rsidRPr="00901549">
        <w:t>Saitta</w:t>
      </w:r>
      <w:proofErr w:type="spellEnd"/>
      <w:r w:rsidRPr="00901549">
        <w:t xml:space="preserve"> (Eds.), </w:t>
      </w:r>
      <w:r w:rsidRPr="00901549">
        <w:rPr>
          <w:i/>
        </w:rPr>
        <w:t>Proceedings of the Workshop on Artif</w:t>
      </w:r>
      <w:r w:rsidRPr="00901549">
        <w:rPr>
          <w:i/>
        </w:rPr>
        <w:t>i</w:t>
      </w:r>
      <w:r w:rsidRPr="00901549">
        <w:rPr>
          <w:i/>
        </w:rPr>
        <w:t>cial Intelligence in CSCL at the 16</w:t>
      </w:r>
      <w:r w:rsidRPr="00901549">
        <w:rPr>
          <w:i/>
          <w:vertAlign w:val="superscript"/>
        </w:rPr>
        <w:t>th</w:t>
      </w:r>
      <w:r w:rsidRPr="00901549">
        <w:rPr>
          <w:i/>
        </w:rPr>
        <w:t xml:space="preserve"> European Conference on Artificial Intelligence, Valencia, Spain</w:t>
      </w:r>
      <w:r w:rsidRPr="00901549">
        <w:t xml:space="preserve"> (pp. 17–23). A</w:t>
      </w:r>
      <w:r w:rsidRPr="00901549">
        <w:t>m</w:t>
      </w:r>
      <w:r w:rsidRPr="00901549">
        <w:t>sterdam, The Netherlands: IOS Press</w:t>
      </w:r>
    </w:p>
    <w:p w14:paraId="6EBAD0E6" w14:textId="77777777" w:rsidR="005E5A5B" w:rsidRPr="00901549" w:rsidRDefault="005E5A5B" w:rsidP="00253945">
      <w:pPr>
        <w:pStyle w:val="References"/>
      </w:pPr>
      <w:proofErr w:type="spellStart"/>
      <w:r w:rsidRPr="00901549">
        <w:t>Vickrey</w:t>
      </w:r>
      <w:proofErr w:type="spellEnd"/>
      <w:r w:rsidRPr="00901549">
        <w:t>,</w:t>
      </w:r>
      <w:r w:rsidR="00DC5E68" w:rsidRPr="00901549">
        <w:t xml:space="preserve"> </w:t>
      </w:r>
      <w:r w:rsidRPr="00901549">
        <w:t>T., Golick, D., &amp; Stains, M. (2018)</w:t>
      </w:r>
      <w:r w:rsidR="00DC5E68" w:rsidRPr="00901549">
        <w:t>.</w:t>
      </w:r>
      <w:r w:rsidRPr="00901549">
        <w:t xml:space="preserve"> Educational </w:t>
      </w:r>
      <w:r w:rsidR="00DC5E68" w:rsidRPr="00901549">
        <w:t>t</w:t>
      </w:r>
      <w:r w:rsidRPr="00901549">
        <w:t xml:space="preserve">echnologies and </w:t>
      </w:r>
      <w:r w:rsidR="00DC5E68" w:rsidRPr="00901549">
        <w:t>i</w:t>
      </w:r>
      <w:r w:rsidRPr="00901549">
        <w:t xml:space="preserve">nstructional </w:t>
      </w:r>
      <w:r w:rsidR="00DC5E68" w:rsidRPr="00901549">
        <w:t>p</w:t>
      </w:r>
      <w:r w:rsidRPr="00901549">
        <w:t xml:space="preserve">ractices in </w:t>
      </w:r>
      <w:r w:rsidR="00DC5E68" w:rsidRPr="00901549">
        <w:t>a</w:t>
      </w:r>
      <w:r w:rsidRPr="00901549">
        <w:t xml:space="preserve">gricultural </w:t>
      </w:r>
      <w:r w:rsidR="00DC5E68" w:rsidRPr="00901549">
        <w:t>s</w:t>
      </w:r>
      <w:r w:rsidRPr="00901549">
        <w:t xml:space="preserve">ciences: Leveraging the Technological Pedagogical Content Knowledge (TPACK) </w:t>
      </w:r>
      <w:r w:rsidR="00DC5E68" w:rsidRPr="00901549">
        <w:t>f</w:t>
      </w:r>
      <w:r w:rsidRPr="00901549">
        <w:t xml:space="preserve">ramework to </w:t>
      </w:r>
      <w:r w:rsidR="00DC5E68" w:rsidRPr="00901549">
        <w:t>c</w:t>
      </w:r>
      <w:r w:rsidRPr="00901549">
        <w:t xml:space="preserve">ritically </w:t>
      </w:r>
      <w:r w:rsidR="00DC5E68" w:rsidRPr="00901549">
        <w:t>r</w:t>
      </w:r>
      <w:r w:rsidRPr="00901549">
        <w:t xml:space="preserve">eview the </w:t>
      </w:r>
      <w:r w:rsidR="00DC5E68" w:rsidRPr="00901549">
        <w:t>l</w:t>
      </w:r>
      <w:r w:rsidRPr="00901549">
        <w:t xml:space="preserve">iterature. </w:t>
      </w:r>
      <w:r w:rsidRPr="00901549">
        <w:rPr>
          <w:i/>
        </w:rPr>
        <w:t>NACTA Journal, 62</w:t>
      </w:r>
      <w:r w:rsidRPr="00901549">
        <w:t>, 65</w:t>
      </w:r>
      <w:r w:rsidR="00DC5E68" w:rsidRPr="00901549">
        <w:t>–</w:t>
      </w:r>
      <w:r w:rsidRPr="00901549">
        <w:t>76.</w:t>
      </w:r>
    </w:p>
    <w:bookmarkEnd w:id="10"/>
    <w:p w14:paraId="56FBB892" w14:textId="6E9C9A95" w:rsidR="00C73251" w:rsidRDefault="00C73251">
      <w:pPr>
        <w:spacing w:after="0"/>
        <w:rPr>
          <w:sz w:val="20"/>
        </w:rPr>
      </w:pPr>
    </w:p>
    <w:p w14:paraId="11E4A4DD" w14:textId="77777777" w:rsidR="002604BE" w:rsidRPr="00131150" w:rsidRDefault="002604BE" w:rsidP="00C73251">
      <w:pPr>
        <w:pStyle w:val="References"/>
        <w:ind w:left="0" w:firstLine="0"/>
      </w:pPr>
    </w:p>
    <w:p w14:paraId="0F4D26A6" w14:textId="77777777" w:rsidR="007F614D" w:rsidRDefault="007F614D">
      <w:pPr>
        <w:spacing w:after="0"/>
        <w:rPr>
          <w:rFonts w:cs="Arial"/>
          <w:b/>
          <w:bCs/>
          <w:smallCaps/>
          <w:kern w:val="32"/>
          <w:sz w:val="32"/>
          <w:szCs w:val="36"/>
        </w:rPr>
      </w:pPr>
      <w:r>
        <w:br w:type="page"/>
      </w:r>
    </w:p>
    <w:p w14:paraId="0B957460" w14:textId="157D9F18" w:rsidR="003D08A1" w:rsidRDefault="003219AA" w:rsidP="00071BA2">
      <w:pPr>
        <w:pStyle w:val="Heading1"/>
      </w:pPr>
      <w:r w:rsidRPr="006C5824">
        <w:lastRenderedPageBreak/>
        <w:t>Biographies</w:t>
      </w:r>
    </w:p>
    <w:p w14:paraId="3225E51C" w14:textId="7515883E" w:rsidR="00B17091" w:rsidRDefault="00B17091" w:rsidP="00B17091">
      <w:r>
        <w:rPr>
          <w:noProof/>
        </w:rPr>
        <w:drawing>
          <wp:anchor distT="0" distB="0" distL="114300" distR="114300" simplePos="0" relativeHeight="251671552" behindDoc="0" locked="0" layoutInCell="1" allowOverlap="1" wp14:anchorId="2D986B52" wp14:editId="0CF4D6AA">
            <wp:simplePos x="0" y="0"/>
            <wp:positionH relativeFrom="margin">
              <wp:align>left</wp:align>
            </wp:positionH>
            <wp:positionV relativeFrom="paragraph">
              <wp:posOffset>1417</wp:posOffset>
            </wp:positionV>
            <wp:extent cx="1371600" cy="1709928"/>
            <wp:effectExtent l="0" t="0" r="0" b="5080"/>
            <wp:wrapSquare wrapText="bothSides"/>
            <wp:docPr id="16" name="Picture 16" descr="C:\CYFS grants\big data\paper\LAK paper\Revision\pix\nugent-gw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CYFS grants\big data\paper\LAK paper\Revision\pix\nugent-gwen.jpg"/>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1371600" cy="1709928"/>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795B56">
        <w:rPr>
          <w:b/>
        </w:rPr>
        <w:t>Dr. Gwen Nugent</w:t>
      </w:r>
      <w:r>
        <w:t xml:space="preserve"> is a Research Professor of the Nebraska Center for Research on Children, Youth, Families and Schools at the University of Nebraska-Lincoln. Dr. Nugent coordinates deve</w:t>
      </w:r>
      <w:r>
        <w:t>l</w:t>
      </w:r>
      <w:r>
        <w:t>opment and research projects focusing on the impact of technology to improve student lear</w:t>
      </w:r>
      <w:r>
        <w:t>n</w:t>
      </w:r>
      <w:r>
        <w:t>ing and teacher competencies and has led projects funded by the National Science Foundation and U.S. D</w:t>
      </w:r>
      <w:r>
        <w:t>e</w:t>
      </w:r>
      <w:r>
        <w:t>partment of Education. She has designed more than 300 multimedia projects in a variety of subject areas and for a variety of audiences. The majority of these projects are distributed n</w:t>
      </w:r>
      <w:r>
        <w:t>a</w:t>
      </w:r>
      <w:r>
        <w:t>tionally and internationally, and many have won national awards for their educational impact and effectiveness.</w:t>
      </w:r>
    </w:p>
    <w:p w14:paraId="7F9E424A" w14:textId="150828E5" w:rsidR="00A3141F" w:rsidRDefault="00A3141F" w:rsidP="00145B34"/>
    <w:p w14:paraId="756212A8" w14:textId="45DA0647" w:rsidR="00055070" w:rsidRDefault="00055070" w:rsidP="00145B34"/>
    <w:p w14:paraId="3C99BA6C" w14:textId="4F2766B8" w:rsidR="00B17091" w:rsidRPr="0031179E" w:rsidRDefault="00840615" w:rsidP="00B17091">
      <w:r w:rsidRPr="005451E1">
        <w:rPr>
          <w:noProof/>
        </w:rPr>
        <w:drawing>
          <wp:anchor distT="0" distB="0" distL="114300" distR="114300" simplePos="0" relativeHeight="251672576" behindDoc="0" locked="0" layoutInCell="1" allowOverlap="1" wp14:anchorId="7212925D" wp14:editId="359C6FD2">
            <wp:simplePos x="0" y="0"/>
            <wp:positionH relativeFrom="column">
              <wp:align>left</wp:align>
            </wp:positionH>
            <wp:positionV relativeFrom="paragraph">
              <wp:posOffset>0</wp:posOffset>
            </wp:positionV>
            <wp:extent cx="1371600" cy="1719072"/>
            <wp:effectExtent l="0" t="0" r="0" b="0"/>
            <wp:wrapSquare wrapText="bothSides"/>
            <wp:docPr id="17" name="Picture 17" descr="C:\CYFS grants\big data\paper\LAK paper\Revision\pix\160928_Guru_Ashu_008RT8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CYFS grants\big data\paper\LAK paper\Revision\pix\160928_Guru_Ashu_008RT810.jpg"/>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1371600" cy="1719072"/>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17091" w:rsidRPr="00B17091">
        <w:rPr>
          <w:b/>
        </w:rPr>
        <w:t xml:space="preserve">Dr. </w:t>
      </w:r>
      <w:proofErr w:type="spellStart"/>
      <w:r w:rsidR="00B17091" w:rsidRPr="00B17091">
        <w:rPr>
          <w:b/>
        </w:rPr>
        <w:t>Ashu</w:t>
      </w:r>
      <w:proofErr w:type="spellEnd"/>
      <w:r w:rsidR="00B17091" w:rsidRPr="00B17091">
        <w:rPr>
          <w:b/>
        </w:rPr>
        <w:t xml:space="preserve"> Guru</w:t>
      </w:r>
      <w:r w:rsidR="00B17091">
        <w:t xml:space="preserve"> is a computational scientist and educational researcher who focuses on curriculum development in both formal and non-formal educational settings. His expertise includes operations research, statistical modeling, simulation, systems thinking, and design. He has taught several grad</w:t>
      </w:r>
      <w:r w:rsidR="00B17091">
        <w:t>u</w:t>
      </w:r>
      <w:r w:rsidR="00B17091">
        <w:t>ate and undergraduate courses in Systems Engineering, Operations Research, and Business Analytics. Dr. Guru has previously served as the Director of Research Strategy at the Jeffrey S. Raikes School of Compu</w:t>
      </w:r>
      <w:r w:rsidR="00B17091">
        <w:t>t</w:t>
      </w:r>
      <w:r w:rsidR="00B17091">
        <w:t>er Science and Management at the University of Nebraska-Lincoln. In his current position, Dr. Guru is a faculty member with the Nebraska Exte</w:t>
      </w:r>
      <w:r w:rsidR="00B17091">
        <w:t>n</w:t>
      </w:r>
      <w:r w:rsidR="00B17091">
        <w:t>sion at the University of Nebraska-Lincoln.</w:t>
      </w:r>
    </w:p>
    <w:p w14:paraId="4E72A7F3" w14:textId="6393A2F8" w:rsidR="00055070" w:rsidRDefault="00055070" w:rsidP="00145B34"/>
    <w:p w14:paraId="1FA1E4EE" w14:textId="1BE22EBA" w:rsidR="0031179E" w:rsidRDefault="0031179E" w:rsidP="005451E1"/>
    <w:p w14:paraId="1617EB9F" w14:textId="482D0C7E" w:rsidR="00840615" w:rsidRPr="0093173B" w:rsidRDefault="00840615" w:rsidP="00840615">
      <w:r w:rsidRPr="0041076B">
        <w:rPr>
          <w:noProof/>
          <w:color w:val="1F497D"/>
        </w:rPr>
        <w:drawing>
          <wp:anchor distT="0" distB="0" distL="114300" distR="114300" simplePos="0" relativeHeight="251673600" behindDoc="0" locked="0" layoutInCell="1" allowOverlap="1" wp14:anchorId="2DC8A729" wp14:editId="5FA6751A">
            <wp:simplePos x="0" y="0"/>
            <wp:positionH relativeFrom="margin">
              <wp:align>left</wp:align>
            </wp:positionH>
            <wp:positionV relativeFrom="paragraph">
              <wp:posOffset>0</wp:posOffset>
            </wp:positionV>
            <wp:extent cx="1371823" cy="1563624"/>
            <wp:effectExtent l="0" t="0" r="0" b="0"/>
            <wp:wrapSquare wrapText="bothSides"/>
            <wp:docPr id="18" name="Picture 18" descr="C:\CYFS grants\big data\paper\LAK paper\Revision\pix\Deana pic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CYFS grants\big data\paper\LAK paper\Revision\pix\Deana picture.png"/>
                    <pic:cNvPicPr>
                      <a:picLocks noChangeAspect="1" noChangeArrowheads="1"/>
                    </pic:cNvPicPr>
                  </pic:nvPicPr>
                  <pic:blipFill rotWithShape="1">
                    <a:blip r:embed="rId44" cstate="print">
                      <a:extLst>
                        <a:ext uri="{28A0092B-C50C-407E-A947-70E740481C1C}">
                          <a14:useLocalDpi xmlns:a14="http://schemas.microsoft.com/office/drawing/2010/main" val="0"/>
                        </a:ext>
                      </a:extLst>
                    </a:blip>
                    <a:srcRect l="10209" r="10676"/>
                    <a:stretch/>
                  </pic:blipFill>
                  <pic:spPr bwMode="auto">
                    <a:xfrm>
                      <a:off x="0" y="0"/>
                      <a:ext cx="1371823" cy="1563624"/>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840615">
        <w:rPr>
          <w:b/>
        </w:rPr>
        <w:t xml:space="preserve">Dr. Deana </w:t>
      </w:r>
      <w:proofErr w:type="spellStart"/>
      <w:r w:rsidRPr="00840615">
        <w:rPr>
          <w:b/>
        </w:rPr>
        <w:t>Namuth</w:t>
      </w:r>
      <w:proofErr w:type="spellEnd"/>
      <w:r w:rsidRPr="00840615">
        <w:rPr>
          <w:b/>
        </w:rPr>
        <w:t>-Covert</w:t>
      </w:r>
      <w:r>
        <w:t xml:space="preserve"> has spent her entire career working with online education for both credit and non-credit/Extension audiences (18 years). Most recently in 2014, she joined The Ohio State University as a Professor at the OSU agricultural Technical Institute where she teaches online agronomy courses for undergraduate students. She also serves as the Director of Online Education and Outreach for the OSU College of Food, Agricultural, and Environmental Sciences.</w:t>
      </w:r>
    </w:p>
    <w:p w14:paraId="20D83529" w14:textId="5B10D972" w:rsidR="0031179E" w:rsidRDefault="0031179E" w:rsidP="005451E1"/>
    <w:p w14:paraId="217C304D" w14:textId="796BEC8B" w:rsidR="00055070" w:rsidRDefault="00055070" w:rsidP="00145B34"/>
    <w:sectPr w:rsidR="00055070" w:rsidSect="004E0031">
      <w:headerReference w:type="even" r:id="rId45"/>
      <w:headerReference w:type="default" r:id="rId46"/>
      <w:footerReference w:type="even" r:id="rId47"/>
      <w:footerReference w:type="default" r:id="rId48"/>
      <w:headerReference w:type="first" r:id="rId49"/>
      <w:footerReference w:type="first" r:id="rId50"/>
      <w:pgSz w:w="12240" w:h="15840" w:code="1"/>
      <w:pgMar w:top="1440" w:right="1440" w:bottom="1440" w:left="2160" w:header="720" w:footer="720" w:gutter="0"/>
      <w:pgNumType w:start="143"/>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2D31666" w14:textId="77777777" w:rsidR="00AC1102" w:rsidRDefault="00AC1102" w:rsidP="00145B34">
      <w:r>
        <w:separator/>
      </w:r>
    </w:p>
  </w:endnote>
  <w:endnote w:type="continuationSeparator" w:id="0">
    <w:p w14:paraId="1737A7DB" w14:textId="77777777" w:rsidR="00AC1102" w:rsidRDefault="00AC1102" w:rsidP="00145B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E1134E" w14:textId="4AC88902" w:rsidR="00616447" w:rsidRDefault="00852349" w:rsidP="00CB5C47">
    <w:pPr>
      <w:spacing w:after="0"/>
    </w:pPr>
    <w:r>
      <w:rPr>
        <w:rStyle w:val="PageNumber"/>
      </w:rPr>
      <w:fldChar w:fldCharType="begin"/>
    </w:r>
    <w:r w:rsidR="00616447">
      <w:rPr>
        <w:rStyle w:val="PageNumber"/>
      </w:rPr>
      <w:instrText xml:space="preserve"> PAGE </w:instrText>
    </w:r>
    <w:r>
      <w:rPr>
        <w:rStyle w:val="PageNumber"/>
      </w:rPr>
      <w:fldChar w:fldCharType="separate"/>
    </w:r>
    <w:r w:rsidR="00401830">
      <w:rPr>
        <w:rStyle w:val="PageNumber"/>
        <w:noProof/>
      </w:rPr>
      <w:t>144</w:t>
    </w:r>
    <w:r>
      <w:rPr>
        <w:rStyle w:val="PageNumber"/>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1E672B" w14:textId="5E50F968" w:rsidR="00616447" w:rsidRDefault="00852349" w:rsidP="00CB5C47">
    <w:pPr>
      <w:spacing w:after="0"/>
      <w:jc w:val="right"/>
    </w:pPr>
    <w:r w:rsidRPr="0099015B">
      <w:rPr>
        <w:rStyle w:val="PageNumber"/>
      </w:rPr>
      <w:fldChar w:fldCharType="begin"/>
    </w:r>
    <w:r w:rsidR="00616447" w:rsidRPr="0099015B">
      <w:rPr>
        <w:rStyle w:val="PageNumber"/>
      </w:rPr>
      <w:instrText xml:space="preserve"> PAGE </w:instrText>
    </w:r>
    <w:r w:rsidRPr="0099015B">
      <w:rPr>
        <w:rStyle w:val="PageNumber"/>
      </w:rPr>
      <w:fldChar w:fldCharType="separate"/>
    </w:r>
    <w:r w:rsidR="00401830">
      <w:rPr>
        <w:rStyle w:val="PageNumber"/>
        <w:noProof/>
      </w:rPr>
      <w:t>157</w:t>
    </w:r>
    <w:r w:rsidRPr="0099015B">
      <w:rPr>
        <w:rStyle w:val="PageNumber"/>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9A6B9B" w14:textId="4EE1FB0C" w:rsidR="00E00027" w:rsidRPr="00E00027" w:rsidRDefault="00E00027" w:rsidP="00E00027">
    <w:pPr>
      <w:pStyle w:val="PaperInfo"/>
      <w:rPr>
        <w:sz w:val="20"/>
        <w:szCs w:val="20"/>
      </w:rPr>
    </w:pPr>
    <w:bookmarkStart w:id="11" w:name="OLE_LINK7"/>
    <w:bookmarkStart w:id="12" w:name="OLE_LINK8"/>
    <w:bookmarkStart w:id="13" w:name="OLE_LINK48"/>
    <w:bookmarkStart w:id="14" w:name="OLE_LINK49"/>
    <w:bookmarkStart w:id="15" w:name="_Hlk461732113"/>
    <w:bookmarkStart w:id="16" w:name="OLE_LINK50"/>
    <w:bookmarkStart w:id="17" w:name="OLE_LINK51"/>
    <w:bookmarkStart w:id="18" w:name="_Hlk461732119"/>
    <w:bookmarkStart w:id="19" w:name="OLE_LINK52"/>
    <w:bookmarkStart w:id="20" w:name="OLE_LINK53"/>
    <w:bookmarkStart w:id="21" w:name="_Hlk461732120"/>
    <w:bookmarkStart w:id="22" w:name="OLE_LINK1"/>
    <w:bookmarkStart w:id="23" w:name="OLE_LINK2"/>
    <w:bookmarkStart w:id="24" w:name="_Hlk460832760"/>
    <w:bookmarkStart w:id="25" w:name="OLE_LINK3"/>
    <w:bookmarkStart w:id="26" w:name="OLE_LINK4"/>
    <w:bookmarkStart w:id="27" w:name="_Hlk460832771"/>
    <w:bookmarkStart w:id="28" w:name="OLE_LINK5"/>
    <w:bookmarkStart w:id="29" w:name="OLE_LINK6"/>
    <w:bookmarkStart w:id="30" w:name="_Hlk460832773"/>
    <w:r w:rsidRPr="00E00027">
      <w:rPr>
        <w:sz w:val="20"/>
        <w:szCs w:val="20"/>
      </w:rPr>
      <w:t xml:space="preserve">Accepted by Editor </w:t>
    </w:r>
    <w:proofErr w:type="spellStart"/>
    <w:r w:rsidRPr="00E00027">
      <w:rPr>
        <w:rStyle w:val="meta"/>
        <w:sz w:val="20"/>
        <w:szCs w:val="20"/>
      </w:rPr>
      <w:t>Ewa</w:t>
    </w:r>
    <w:proofErr w:type="spellEnd"/>
    <w:r w:rsidRPr="00E00027">
      <w:rPr>
        <w:rStyle w:val="meta"/>
        <w:sz w:val="20"/>
        <w:szCs w:val="20"/>
      </w:rPr>
      <w:t xml:space="preserve"> Wanda </w:t>
    </w:r>
    <w:proofErr w:type="spellStart"/>
    <w:r w:rsidRPr="00E00027">
      <w:rPr>
        <w:rStyle w:val="meta"/>
        <w:sz w:val="20"/>
        <w:szCs w:val="20"/>
      </w:rPr>
      <w:t>Ziemba</w:t>
    </w:r>
    <w:proofErr w:type="spellEnd"/>
    <w:r w:rsidRPr="00E00027">
      <w:rPr>
        <w:sz w:val="20"/>
        <w:szCs w:val="20"/>
      </w:rPr>
      <w:t xml:space="preserve"> │Received: March 27, 2018│ Revised: August 30, September 26, October 8, 2018 │ Accepted: October 15, 2018. </w:t>
    </w:r>
    <w:r w:rsidRPr="00E00027">
      <w:rPr>
        <w:sz w:val="20"/>
        <w:szCs w:val="20"/>
      </w:rPr>
      <w:br/>
      <w:t xml:space="preserve">Cite as: </w:t>
    </w:r>
    <w:r>
      <w:rPr>
        <w:sz w:val="20"/>
        <w:szCs w:val="20"/>
      </w:rPr>
      <w:t xml:space="preserve">Nugent, G., Guru, A., &amp; </w:t>
    </w:r>
    <w:proofErr w:type="spellStart"/>
    <w:r>
      <w:rPr>
        <w:sz w:val="20"/>
        <w:szCs w:val="20"/>
      </w:rPr>
      <w:t>Namuth</w:t>
    </w:r>
    <w:proofErr w:type="spellEnd"/>
    <w:r>
      <w:rPr>
        <w:sz w:val="20"/>
        <w:szCs w:val="20"/>
      </w:rPr>
      <w:t>-Covert, D</w:t>
    </w:r>
    <w:r w:rsidRPr="00E00027">
      <w:rPr>
        <w:sz w:val="20"/>
        <w:szCs w:val="20"/>
      </w:rPr>
      <w:t>. (2018). Students’ approaches to e-learning: Analyzing credit/noncredit and high/low performers.</w:t>
    </w:r>
    <w:r w:rsidRPr="00E00027">
      <w:rPr>
        <w:i/>
        <w:sz w:val="20"/>
        <w:szCs w:val="20"/>
      </w:rPr>
      <w:t xml:space="preserve"> </w:t>
    </w:r>
    <w:bookmarkStart w:id="31" w:name="_Hlk527451243"/>
    <w:r w:rsidRPr="00E00027">
      <w:rPr>
        <w:bCs/>
        <w:i/>
        <w:sz w:val="20"/>
        <w:szCs w:val="20"/>
      </w:rPr>
      <w:t>Interdisciplinary Journal of e-Skills and Lifelong Learning</w:t>
    </w:r>
    <w:bookmarkEnd w:id="31"/>
    <w:r w:rsidRPr="00E00027">
      <w:rPr>
        <w:i/>
        <w:sz w:val="20"/>
        <w:szCs w:val="20"/>
      </w:rPr>
      <w:t>, 14,</w:t>
    </w:r>
    <w:r w:rsidRPr="00E00027">
      <w:rPr>
        <w:sz w:val="20"/>
        <w:szCs w:val="20"/>
      </w:rPr>
      <w:t xml:space="preserve"> </w:t>
    </w:r>
    <w:r w:rsidR="00401830">
      <w:rPr>
        <w:sz w:val="20"/>
        <w:szCs w:val="20"/>
      </w:rPr>
      <w:t xml:space="preserve">143-158. </w:t>
    </w:r>
    <w:hyperlink r:id="rId1" w:history="1">
      <w:r w:rsidR="00401830" w:rsidRPr="00B41D1F">
        <w:rPr>
          <w:rStyle w:val="Hyperlink"/>
          <w:sz w:val="20"/>
          <w:szCs w:val="20"/>
        </w:rPr>
        <w:t>https://doi.org/10.28945/4133</w:t>
      </w:r>
    </w:hyperlink>
    <w:r w:rsidR="00401830">
      <w:rPr>
        <w:sz w:val="20"/>
        <w:szCs w:val="20"/>
      </w:rPr>
      <w:t xml:space="preserve"> </w:t>
    </w:r>
  </w:p>
  <w:p w14:paraId="6305811A" w14:textId="5BCC01DF" w:rsidR="00616447" w:rsidRPr="007468EE" w:rsidRDefault="00616447" w:rsidP="00E00027">
    <w:pPr>
      <w:rPr>
        <w:sz w:val="18"/>
        <w:szCs w:val="18"/>
      </w:rPr>
    </w:pPr>
    <w:r w:rsidRPr="007468EE">
      <w:rPr>
        <w:sz w:val="18"/>
        <w:szCs w:val="18"/>
      </w:rPr>
      <w:t xml:space="preserve">(CC BY-NC 4.0) This article is licensed to you under a </w:t>
    </w:r>
    <w:bookmarkStart w:id="32" w:name="OLE_LINK17"/>
    <w:bookmarkStart w:id="33" w:name="OLE_LINK18"/>
    <w:r w:rsidR="00852349" w:rsidRPr="007468EE">
      <w:rPr>
        <w:sz w:val="18"/>
        <w:szCs w:val="18"/>
      </w:rPr>
      <w:fldChar w:fldCharType="begin"/>
    </w:r>
    <w:r w:rsidRPr="007468EE">
      <w:rPr>
        <w:sz w:val="18"/>
        <w:szCs w:val="18"/>
      </w:rPr>
      <w:instrText xml:space="preserve"> HYPERLINK "https://creativecommons.org/licenses/by-nc/4.0/" </w:instrText>
    </w:r>
    <w:r w:rsidR="00852349" w:rsidRPr="007468EE">
      <w:rPr>
        <w:sz w:val="18"/>
        <w:szCs w:val="18"/>
      </w:rPr>
      <w:fldChar w:fldCharType="separate"/>
    </w:r>
    <w:r w:rsidRPr="007468EE">
      <w:rPr>
        <w:rStyle w:val="Hyperlink"/>
        <w:sz w:val="18"/>
        <w:szCs w:val="18"/>
      </w:rPr>
      <w:t>Creative Commons Attribution-</w:t>
    </w:r>
    <w:proofErr w:type="spellStart"/>
    <w:r w:rsidRPr="007468EE">
      <w:rPr>
        <w:rStyle w:val="Hyperlink"/>
        <w:sz w:val="18"/>
        <w:szCs w:val="18"/>
      </w:rPr>
      <w:t>NonCommercial</w:t>
    </w:r>
    <w:proofErr w:type="spellEnd"/>
    <w:r w:rsidRPr="007468EE">
      <w:rPr>
        <w:rStyle w:val="Hyperlink"/>
        <w:sz w:val="18"/>
        <w:szCs w:val="18"/>
      </w:rPr>
      <w:t xml:space="preserve"> 4.0 International License</w:t>
    </w:r>
    <w:r w:rsidR="00852349" w:rsidRPr="007468EE">
      <w:rPr>
        <w:sz w:val="18"/>
        <w:szCs w:val="18"/>
      </w:rPr>
      <w:fldChar w:fldCharType="end"/>
    </w:r>
    <w:r w:rsidRPr="007468EE">
      <w:rPr>
        <w:sz w:val="18"/>
        <w:szCs w:val="18"/>
      </w:rPr>
      <w:t>.</w:t>
    </w:r>
    <w:bookmarkEnd w:id="32"/>
    <w:bookmarkEnd w:id="33"/>
    <w:r w:rsidRPr="007468EE">
      <w:rPr>
        <w:sz w:val="18"/>
        <w:szCs w:val="18"/>
      </w:rPr>
      <w:t xml:space="preserve"> When you copy and redistribute this paper in full or in part, you need to provide proper attribution to it to ensure that others can later locate this work (and to ensure that others do not accuse you of plagiarism). You may (and we encou</w:t>
    </w:r>
    <w:r w:rsidRPr="007468EE">
      <w:rPr>
        <w:sz w:val="18"/>
        <w:szCs w:val="18"/>
      </w:rPr>
      <w:t>r</w:t>
    </w:r>
    <w:r w:rsidRPr="007468EE">
      <w:rPr>
        <w:sz w:val="18"/>
        <w:szCs w:val="18"/>
      </w:rPr>
      <w:t>age you to) adapt, remix, transform, and build upon the material for any non-commercial purposes. This license does not permit you to use this material for commercial purposes.</w:t>
    </w:r>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2D9B4BF" w14:textId="77777777" w:rsidR="00AC1102" w:rsidRDefault="00AC1102" w:rsidP="00145B34">
      <w:r>
        <w:separator/>
      </w:r>
    </w:p>
  </w:footnote>
  <w:footnote w:type="continuationSeparator" w:id="0">
    <w:p w14:paraId="11C124D6" w14:textId="77777777" w:rsidR="00AC1102" w:rsidRDefault="00AC1102" w:rsidP="00145B3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70E854" w14:textId="1C3D7742" w:rsidR="00616447" w:rsidRDefault="00E00027" w:rsidP="0099015B">
    <w:r>
      <w:t>Students’ Approaches to E-Learning</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DA0AB3" w14:textId="29144E81" w:rsidR="00616447" w:rsidRPr="00E00027" w:rsidRDefault="00E00027" w:rsidP="00CB5C47">
    <w:pPr>
      <w:jc w:val="right"/>
      <w:rPr>
        <w:sz w:val="24"/>
      </w:rPr>
    </w:pPr>
    <w:r w:rsidRPr="00E00027">
      <w:rPr>
        <w:szCs w:val="20"/>
      </w:rPr>
      <w:t xml:space="preserve">Nugent, Guru, &amp; </w:t>
    </w:r>
    <w:proofErr w:type="spellStart"/>
    <w:r w:rsidRPr="00E00027">
      <w:rPr>
        <w:szCs w:val="20"/>
      </w:rPr>
      <w:t>Namuth</w:t>
    </w:r>
    <w:proofErr w:type="spellEnd"/>
    <w:r w:rsidRPr="00E00027">
      <w:rPr>
        <w:szCs w:val="20"/>
      </w:rPr>
      <w:t>-Covert</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788BBE" w14:textId="081843B5" w:rsidR="00616447" w:rsidRDefault="00E00027" w:rsidP="00145B34">
    <w:pPr>
      <w:pStyle w:val="Header"/>
    </w:pPr>
    <w:r>
      <w:rPr>
        <w:noProof/>
      </w:rPr>
      <w:drawing>
        <wp:inline distT="0" distB="0" distL="0" distR="0" wp14:anchorId="25EA2357" wp14:editId="225A7701">
          <wp:extent cx="5478780" cy="1170305"/>
          <wp:effectExtent l="0" t="0" r="7620" b="0"/>
          <wp:docPr id="2" name="Picture 2" descr="IJE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JELL"/>
                  <pic:cNvPicPr>
                    <a:picLocks noChangeAspect="1" noChangeArrowheads="1"/>
                  </pic:cNvPicPr>
                </pic:nvPicPr>
                <pic:blipFill>
                  <a:blip r:embed="rId1">
                    <a:extLst>
                      <a:ext uri="{28A0092B-C50C-407E-A947-70E740481C1C}">
                        <a14:useLocalDpi xmlns:a14="http://schemas.microsoft.com/office/drawing/2010/main" val="0"/>
                      </a:ext>
                    </a:extLst>
                  </a:blip>
                  <a:srcRect b="9122"/>
                  <a:stretch>
                    <a:fillRect/>
                  </a:stretch>
                </pic:blipFill>
                <pic:spPr bwMode="auto">
                  <a:xfrm>
                    <a:off x="0" y="0"/>
                    <a:ext cx="5478780" cy="1170305"/>
                  </a:xfrm>
                  <a:prstGeom prst="rect">
                    <a:avLst/>
                  </a:prstGeom>
                  <a:noFill/>
                  <a:ln>
                    <a:noFill/>
                  </a:ln>
                </pic:spPr>
              </pic:pic>
            </a:graphicData>
          </a:graphic>
        </wp:inline>
      </w:drawing>
    </w:r>
  </w:p>
  <w:p w14:paraId="5B95FCCC" w14:textId="5958A19F" w:rsidR="00616447" w:rsidRPr="007468EE" w:rsidRDefault="00616447" w:rsidP="00932FE6">
    <w:pPr>
      <w:jc w:val="center"/>
      <w:rPr>
        <w:b/>
        <w:sz w:val="28"/>
      </w:rPr>
    </w:pPr>
    <w:r w:rsidRPr="007468EE">
      <w:rPr>
        <w:b/>
        <w:sz w:val="28"/>
      </w:rPr>
      <w:t xml:space="preserve">Volume </w:t>
    </w:r>
    <w:r w:rsidR="00E00027">
      <w:rPr>
        <w:b/>
        <w:sz w:val="28"/>
      </w:rPr>
      <w:t>14</w:t>
    </w:r>
    <w:r w:rsidRPr="007468EE">
      <w:rPr>
        <w:b/>
        <w:sz w:val="28"/>
      </w:rPr>
      <w:t>, 20</w:t>
    </w:r>
    <w:r w:rsidR="00E00027">
      <w:rPr>
        <w:b/>
        <w:sz w:val="28"/>
      </w:rPr>
      <w:t>18</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6D1409"/>
    <w:multiLevelType w:val="hybridMultilevel"/>
    <w:tmpl w:val="791E0732"/>
    <w:lvl w:ilvl="0" w:tplc="04090011">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059F4F19"/>
    <w:multiLevelType w:val="multilevel"/>
    <w:tmpl w:val="2F38E5E4"/>
    <w:lvl w:ilvl="0">
      <w:start w:val="1"/>
      <w:numFmt w:val="bullet"/>
      <w:lvlText w:val=""/>
      <w:lvlJc w:val="left"/>
      <w:pPr>
        <w:tabs>
          <w:tab w:val="num" w:pos="720"/>
        </w:tabs>
        <w:ind w:left="720" w:hanging="360"/>
      </w:pPr>
      <w:rPr>
        <w:rFonts w:ascii="Symbol" w:hAnsi="Symbol"/>
        <w:sz w:val="22"/>
        <w:szCs w:val="24"/>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nsid w:val="09E30150"/>
    <w:multiLevelType w:val="hybridMultilevel"/>
    <w:tmpl w:val="25B6FF6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0EB913BD"/>
    <w:multiLevelType w:val="hybridMultilevel"/>
    <w:tmpl w:val="D40C748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175E24DB"/>
    <w:multiLevelType w:val="hybridMultilevel"/>
    <w:tmpl w:val="3F226918"/>
    <w:lvl w:ilvl="0" w:tplc="4FB64C86">
      <w:start w:val="1"/>
      <w:numFmt w:val="decimal"/>
      <w:lvlText w:val="%1."/>
      <w:lvlJc w:val="left"/>
      <w:pPr>
        <w:ind w:left="5310" w:hanging="360"/>
      </w:pPr>
      <w:rPr>
        <w:rFonts w:ascii="Garamond" w:eastAsia="Times New Roman" w:hAnsi="Garamond" w:cs="Times New Roman"/>
      </w:rPr>
    </w:lvl>
    <w:lvl w:ilvl="1" w:tplc="04090019">
      <w:start w:val="1"/>
      <w:numFmt w:val="lowerLetter"/>
      <w:lvlText w:val="%2."/>
      <w:lvlJc w:val="left"/>
      <w:pPr>
        <w:ind w:left="6030" w:hanging="360"/>
      </w:pPr>
    </w:lvl>
    <w:lvl w:ilvl="2" w:tplc="0409001B" w:tentative="1">
      <w:start w:val="1"/>
      <w:numFmt w:val="lowerRoman"/>
      <w:lvlText w:val="%3."/>
      <w:lvlJc w:val="right"/>
      <w:pPr>
        <w:ind w:left="6750" w:hanging="180"/>
      </w:pPr>
    </w:lvl>
    <w:lvl w:ilvl="3" w:tplc="0409000F" w:tentative="1">
      <w:start w:val="1"/>
      <w:numFmt w:val="decimal"/>
      <w:lvlText w:val="%4."/>
      <w:lvlJc w:val="left"/>
      <w:pPr>
        <w:ind w:left="7470" w:hanging="360"/>
      </w:pPr>
    </w:lvl>
    <w:lvl w:ilvl="4" w:tplc="04090019" w:tentative="1">
      <w:start w:val="1"/>
      <w:numFmt w:val="lowerLetter"/>
      <w:lvlText w:val="%5."/>
      <w:lvlJc w:val="left"/>
      <w:pPr>
        <w:ind w:left="8190" w:hanging="360"/>
      </w:pPr>
    </w:lvl>
    <w:lvl w:ilvl="5" w:tplc="0409001B" w:tentative="1">
      <w:start w:val="1"/>
      <w:numFmt w:val="lowerRoman"/>
      <w:lvlText w:val="%6."/>
      <w:lvlJc w:val="right"/>
      <w:pPr>
        <w:ind w:left="8910" w:hanging="180"/>
      </w:pPr>
    </w:lvl>
    <w:lvl w:ilvl="6" w:tplc="0409000F" w:tentative="1">
      <w:start w:val="1"/>
      <w:numFmt w:val="decimal"/>
      <w:lvlText w:val="%7."/>
      <w:lvlJc w:val="left"/>
      <w:pPr>
        <w:ind w:left="9630" w:hanging="360"/>
      </w:pPr>
    </w:lvl>
    <w:lvl w:ilvl="7" w:tplc="04090019" w:tentative="1">
      <w:start w:val="1"/>
      <w:numFmt w:val="lowerLetter"/>
      <w:lvlText w:val="%8."/>
      <w:lvlJc w:val="left"/>
      <w:pPr>
        <w:ind w:left="10350" w:hanging="360"/>
      </w:pPr>
    </w:lvl>
    <w:lvl w:ilvl="8" w:tplc="0409001B" w:tentative="1">
      <w:start w:val="1"/>
      <w:numFmt w:val="lowerRoman"/>
      <w:lvlText w:val="%9."/>
      <w:lvlJc w:val="right"/>
      <w:pPr>
        <w:ind w:left="11070" w:hanging="180"/>
      </w:pPr>
    </w:lvl>
  </w:abstractNum>
  <w:abstractNum w:abstractNumId="5">
    <w:nsid w:val="2211209E"/>
    <w:multiLevelType w:val="hybridMultilevel"/>
    <w:tmpl w:val="0BF06A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D7221F8"/>
    <w:multiLevelType w:val="hybridMultilevel"/>
    <w:tmpl w:val="66D6C0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1AA777B"/>
    <w:multiLevelType w:val="hybridMultilevel"/>
    <w:tmpl w:val="082A9E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20D6A3F"/>
    <w:multiLevelType w:val="hybridMultilevel"/>
    <w:tmpl w:val="D2D0291C"/>
    <w:lvl w:ilvl="0" w:tplc="66A8A13C">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9">
    <w:nsid w:val="350D73AA"/>
    <w:multiLevelType w:val="multilevel"/>
    <w:tmpl w:val="2F38E5E4"/>
    <w:lvl w:ilvl="0">
      <w:start w:val="1"/>
      <w:numFmt w:val="bullet"/>
      <w:lvlText w:val=""/>
      <w:lvlJc w:val="left"/>
      <w:pPr>
        <w:tabs>
          <w:tab w:val="num" w:pos="720"/>
        </w:tabs>
        <w:ind w:left="720" w:hanging="360"/>
      </w:pPr>
      <w:rPr>
        <w:rFonts w:ascii="Symbol" w:hAnsi="Symbol"/>
        <w:sz w:val="22"/>
        <w:szCs w:val="24"/>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0">
    <w:nsid w:val="35121F2D"/>
    <w:multiLevelType w:val="multilevel"/>
    <w:tmpl w:val="94A27480"/>
    <w:lvl w:ilvl="0">
      <w:start w:val="1"/>
      <w:numFmt w:val="lowerLetter"/>
      <w:lvlText w:val="%1."/>
      <w:lvlJc w:val="left"/>
      <w:pPr>
        <w:tabs>
          <w:tab w:val="num" w:pos="1440"/>
        </w:tabs>
        <w:ind w:left="144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nsid w:val="35F116F1"/>
    <w:multiLevelType w:val="hybridMultilevel"/>
    <w:tmpl w:val="1D9C312A"/>
    <w:lvl w:ilvl="0" w:tplc="987650A4">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5103A2A"/>
    <w:multiLevelType w:val="hybridMultilevel"/>
    <w:tmpl w:val="2F38E5E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481B6901"/>
    <w:multiLevelType w:val="hybridMultilevel"/>
    <w:tmpl w:val="5434D03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536D4B97"/>
    <w:multiLevelType w:val="hybridMultilevel"/>
    <w:tmpl w:val="5D424A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B133F0E"/>
    <w:multiLevelType w:val="hybridMultilevel"/>
    <w:tmpl w:val="9CCE3544"/>
    <w:lvl w:ilvl="0" w:tplc="0B5066B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12925AB"/>
    <w:multiLevelType w:val="hybridMultilevel"/>
    <w:tmpl w:val="978E97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75186E1C"/>
    <w:multiLevelType w:val="multilevel"/>
    <w:tmpl w:val="7CF096CA"/>
    <w:lvl w:ilvl="0">
      <w:start w:val="1"/>
      <w:numFmt w:val="lowerLetter"/>
      <w:lvlText w:val="%1."/>
      <w:lvlJc w:val="left"/>
      <w:pPr>
        <w:tabs>
          <w:tab w:val="num" w:pos="360"/>
        </w:tabs>
        <w:ind w:left="360" w:hanging="360"/>
      </w:pPr>
      <w:rPr>
        <w:rFonts w:hint="default"/>
      </w:rPr>
    </w:lvl>
    <w:lvl w:ilvl="1">
      <w:start w:val="1"/>
      <w:numFmt w:val="lowerLetter"/>
      <w:lvlText w:val="%2."/>
      <w:lvlJc w:val="left"/>
      <w:pPr>
        <w:tabs>
          <w:tab w:val="num" w:pos="360"/>
        </w:tabs>
        <w:ind w:left="360" w:hanging="360"/>
      </w:pPr>
    </w:lvl>
    <w:lvl w:ilvl="2">
      <w:start w:val="1"/>
      <w:numFmt w:val="lowerRoman"/>
      <w:lvlText w:val="%3."/>
      <w:lvlJc w:val="right"/>
      <w:pPr>
        <w:tabs>
          <w:tab w:val="num" w:pos="1080"/>
        </w:tabs>
        <w:ind w:left="1080" w:hanging="180"/>
      </w:pPr>
    </w:lvl>
    <w:lvl w:ilvl="3">
      <w:start w:val="1"/>
      <w:numFmt w:val="decimal"/>
      <w:lvlText w:val="%4."/>
      <w:lvlJc w:val="left"/>
      <w:pPr>
        <w:tabs>
          <w:tab w:val="num" w:pos="1800"/>
        </w:tabs>
        <w:ind w:left="1800" w:hanging="360"/>
      </w:pPr>
    </w:lvl>
    <w:lvl w:ilvl="4">
      <w:start w:val="1"/>
      <w:numFmt w:val="lowerLetter"/>
      <w:lvlText w:val="%5."/>
      <w:lvlJc w:val="left"/>
      <w:pPr>
        <w:tabs>
          <w:tab w:val="num" w:pos="2520"/>
        </w:tabs>
        <w:ind w:left="2520" w:hanging="360"/>
      </w:pPr>
    </w:lvl>
    <w:lvl w:ilvl="5">
      <w:start w:val="1"/>
      <w:numFmt w:val="lowerRoman"/>
      <w:lvlText w:val="%6."/>
      <w:lvlJc w:val="right"/>
      <w:pPr>
        <w:tabs>
          <w:tab w:val="num" w:pos="3240"/>
        </w:tabs>
        <w:ind w:left="3240" w:hanging="180"/>
      </w:pPr>
    </w:lvl>
    <w:lvl w:ilvl="6">
      <w:start w:val="1"/>
      <w:numFmt w:val="decimal"/>
      <w:lvlText w:val="%7."/>
      <w:lvlJc w:val="left"/>
      <w:pPr>
        <w:tabs>
          <w:tab w:val="num" w:pos="3960"/>
        </w:tabs>
        <w:ind w:left="3960" w:hanging="360"/>
      </w:pPr>
    </w:lvl>
    <w:lvl w:ilvl="7">
      <w:start w:val="1"/>
      <w:numFmt w:val="lowerLetter"/>
      <w:lvlText w:val="%8."/>
      <w:lvlJc w:val="left"/>
      <w:pPr>
        <w:tabs>
          <w:tab w:val="num" w:pos="4680"/>
        </w:tabs>
        <w:ind w:left="4680" w:hanging="360"/>
      </w:pPr>
    </w:lvl>
    <w:lvl w:ilvl="8">
      <w:start w:val="1"/>
      <w:numFmt w:val="lowerRoman"/>
      <w:lvlText w:val="%9."/>
      <w:lvlJc w:val="right"/>
      <w:pPr>
        <w:tabs>
          <w:tab w:val="num" w:pos="5400"/>
        </w:tabs>
        <w:ind w:left="5400" w:hanging="180"/>
      </w:pPr>
    </w:lvl>
  </w:abstractNum>
  <w:num w:numId="1">
    <w:abstractNumId w:val="3"/>
  </w:num>
  <w:num w:numId="2">
    <w:abstractNumId w:val="12"/>
  </w:num>
  <w:num w:numId="3">
    <w:abstractNumId w:val="2"/>
  </w:num>
  <w:num w:numId="4">
    <w:abstractNumId w:val="1"/>
  </w:num>
  <w:num w:numId="5">
    <w:abstractNumId w:val="9"/>
  </w:num>
  <w:num w:numId="6">
    <w:abstractNumId w:val="0"/>
  </w:num>
  <w:num w:numId="7">
    <w:abstractNumId w:val="10"/>
  </w:num>
  <w:num w:numId="8">
    <w:abstractNumId w:val="13"/>
  </w:num>
  <w:num w:numId="9">
    <w:abstractNumId w:val="8"/>
  </w:num>
  <w:num w:numId="10">
    <w:abstractNumId w:val="17"/>
  </w:num>
  <w:num w:numId="11">
    <w:abstractNumId w:val="11"/>
  </w:num>
  <w:num w:numId="12">
    <w:abstractNumId w:val="16"/>
  </w:num>
  <w:num w:numId="13">
    <w:abstractNumId w:val="5"/>
  </w:num>
  <w:num w:numId="14">
    <w:abstractNumId w:val="15"/>
  </w:num>
  <w:num w:numId="15">
    <w:abstractNumId w:val="4"/>
  </w:num>
  <w:num w:numId="16">
    <w:abstractNumId w:val="7"/>
  </w:num>
  <w:num w:numId="17">
    <w:abstractNumId w:val="14"/>
  </w:num>
  <w:num w:numId="1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mirrorMargin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autoHyphenation/>
  <w:hyphenationZone w:val="425"/>
  <w:evenAndOddHeaders/>
  <w:noPunctuationKerning/>
  <w:characterSpacingControl w:val="doNotCompress"/>
  <w:hdrShapeDefaults>
    <o:shapedefaults v:ext="edit" spidmax="8193"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0NDc1MzO2MDQyMbEwMjVT0lEKTi0uzszPAykwsqgFAEhH9gYtAAAA"/>
  </w:docVars>
  <w:rsids>
    <w:rsidRoot w:val="007415BB"/>
    <w:rsid w:val="000063D9"/>
    <w:rsid w:val="000073B3"/>
    <w:rsid w:val="00012B44"/>
    <w:rsid w:val="00013546"/>
    <w:rsid w:val="0001512D"/>
    <w:rsid w:val="00020788"/>
    <w:rsid w:val="0004359F"/>
    <w:rsid w:val="00046948"/>
    <w:rsid w:val="00051087"/>
    <w:rsid w:val="00055070"/>
    <w:rsid w:val="00060FC6"/>
    <w:rsid w:val="00066309"/>
    <w:rsid w:val="00066FFB"/>
    <w:rsid w:val="0007154C"/>
    <w:rsid w:val="00071BA2"/>
    <w:rsid w:val="00080385"/>
    <w:rsid w:val="00082D75"/>
    <w:rsid w:val="00083C04"/>
    <w:rsid w:val="00084342"/>
    <w:rsid w:val="0008741F"/>
    <w:rsid w:val="000878FD"/>
    <w:rsid w:val="00090913"/>
    <w:rsid w:val="00093D70"/>
    <w:rsid w:val="00094149"/>
    <w:rsid w:val="00097567"/>
    <w:rsid w:val="000A1560"/>
    <w:rsid w:val="000A1CED"/>
    <w:rsid w:val="000A7EF0"/>
    <w:rsid w:val="000B06CB"/>
    <w:rsid w:val="000B2739"/>
    <w:rsid w:val="000B3EA9"/>
    <w:rsid w:val="000B4059"/>
    <w:rsid w:val="000D2C49"/>
    <w:rsid w:val="000D53D5"/>
    <w:rsid w:val="000E3A0C"/>
    <w:rsid w:val="000E6F33"/>
    <w:rsid w:val="000E76E8"/>
    <w:rsid w:val="000F4AFB"/>
    <w:rsid w:val="00101F7D"/>
    <w:rsid w:val="00103886"/>
    <w:rsid w:val="00103DB2"/>
    <w:rsid w:val="001072B1"/>
    <w:rsid w:val="00113B16"/>
    <w:rsid w:val="00127ED2"/>
    <w:rsid w:val="00131150"/>
    <w:rsid w:val="001323DF"/>
    <w:rsid w:val="00133052"/>
    <w:rsid w:val="00145911"/>
    <w:rsid w:val="00145B34"/>
    <w:rsid w:val="001543C4"/>
    <w:rsid w:val="00156D79"/>
    <w:rsid w:val="0016026E"/>
    <w:rsid w:val="00161AFF"/>
    <w:rsid w:val="001645DB"/>
    <w:rsid w:val="00164FB6"/>
    <w:rsid w:val="00167955"/>
    <w:rsid w:val="001728A5"/>
    <w:rsid w:val="00173470"/>
    <w:rsid w:val="00173830"/>
    <w:rsid w:val="00174598"/>
    <w:rsid w:val="00175199"/>
    <w:rsid w:val="001756B1"/>
    <w:rsid w:val="00176AC4"/>
    <w:rsid w:val="00177C43"/>
    <w:rsid w:val="001849CF"/>
    <w:rsid w:val="00184E4F"/>
    <w:rsid w:val="00196791"/>
    <w:rsid w:val="001A314B"/>
    <w:rsid w:val="001B0CE1"/>
    <w:rsid w:val="001B6E76"/>
    <w:rsid w:val="001C18A7"/>
    <w:rsid w:val="001C2191"/>
    <w:rsid w:val="001C39FB"/>
    <w:rsid w:val="001C7892"/>
    <w:rsid w:val="001C7DE4"/>
    <w:rsid w:val="001E05A9"/>
    <w:rsid w:val="001E6D2F"/>
    <w:rsid w:val="001F725F"/>
    <w:rsid w:val="002009F4"/>
    <w:rsid w:val="002019AC"/>
    <w:rsid w:val="00202462"/>
    <w:rsid w:val="002066E7"/>
    <w:rsid w:val="00224BF1"/>
    <w:rsid w:val="00235397"/>
    <w:rsid w:val="00253945"/>
    <w:rsid w:val="002604BE"/>
    <w:rsid w:val="0026120F"/>
    <w:rsid w:val="00266178"/>
    <w:rsid w:val="0027309D"/>
    <w:rsid w:val="0027366C"/>
    <w:rsid w:val="0027438B"/>
    <w:rsid w:val="002743B3"/>
    <w:rsid w:val="002749B9"/>
    <w:rsid w:val="00281F17"/>
    <w:rsid w:val="0028231F"/>
    <w:rsid w:val="0028392E"/>
    <w:rsid w:val="0028668E"/>
    <w:rsid w:val="00287DC9"/>
    <w:rsid w:val="00290597"/>
    <w:rsid w:val="00290B9B"/>
    <w:rsid w:val="00297BDE"/>
    <w:rsid w:val="002A0436"/>
    <w:rsid w:val="002A352E"/>
    <w:rsid w:val="002A3749"/>
    <w:rsid w:val="002A4C1A"/>
    <w:rsid w:val="002B1B0E"/>
    <w:rsid w:val="002E424C"/>
    <w:rsid w:val="002E4E72"/>
    <w:rsid w:val="002E5C49"/>
    <w:rsid w:val="002E622D"/>
    <w:rsid w:val="002E7045"/>
    <w:rsid w:val="002E7769"/>
    <w:rsid w:val="002F2A76"/>
    <w:rsid w:val="002F3646"/>
    <w:rsid w:val="002F5F4D"/>
    <w:rsid w:val="002F69D1"/>
    <w:rsid w:val="00303B9B"/>
    <w:rsid w:val="0031179E"/>
    <w:rsid w:val="00313D04"/>
    <w:rsid w:val="0031635A"/>
    <w:rsid w:val="003171F2"/>
    <w:rsid w:val="003219AA"/>
    <w:rsid w:val="0032748C"/>
    <w:rsid w:val="00327AB4"/>
    <w:rsid w:val="0035531B"/>
    <w:rsid w:val="00355EE8"/>
    <w:rsid w:val="00361F4D"/>
    <w:rsid w:val="003624A2"/>
    <w:rsid w:val="00363895"/>
    <w:rsid w:val="00364EA2"/>
    <w:rsid w:val="00373C5E"/>
    <w:rsid w:val="0038224E"/>
    <w:rsid w:val="003849A0"/>
    <w:rsid w:val="0039022D"/>
    <w:rsid w:val="003A1A46"/>
    <w:rsid w:val="003A6FE1"/>
    <w:rsid w:val="003B241D"/>
    <w:rsid w:val="003B4703"/>
    <w:rsid w:val="003D008C"/>
    <w:rsid w:val="003D08A1"/>
    <w:rsid w:val="003E56A5"/>
    <w:rsid w:val="003F0C22"/>
    <w:rsid w:val="00400473"/>
    <w:rsid w:val="00401830"/>
    <w:rsid w:val="00404902"/>
    <w:rsid w:val="004065DE"/>
    <w:rsid w:val="0041076B"/>
    <w:rsid w:val="0041239F"/>
    <w:rsid w:val="00412CF9"/>
    <w:rsid w:val="00422352"/>
    <w:rsid w:val="0042429F"/>
    <w:rsid w:val="00430432"/>
    <w:rsid w:val="00430FA2"/>
    <w:rsid w:val="00440AF2"/>
    <w:rsid w:val="0044631F"/>
    <w:rsid w:val="004518E5"/>
    <w:rsid w:val="00453BA7"/>
    <w:rsid w:val="00457002"/>
    <w:rsid w:val="00465FBA"/>
    <w:rsid w:val="004665F1"/>
    <w:rsid w:val="00480B7C"/>
    <w:rsid w:val="00483022"/>
    <w:rsid w:val="004901BD"/>
    <w:rsid w:val="0049673F"/>
    <w:rsid w:val="004B59C5"/>
    <w:rsid w:val="004B6379"/>
    <w:rsid w:val="004B7924"/>
    <w:rsid w:val="004C1E3F"/>
    <w:rsid w:val="004C59D8"/>
    <w:rsid w:val="004C7F6A"/>
    <w:rsid w:val="004D2A6C"/>
    <w:rsid w:val="004D3CB3"/>
    <w:rsid w:val="004D4D1D"/>
    <w:rsid w:val="004E0031"/>
    <w:rsid w:val="004E052D"/>
    <w:rsid w:val="004E0F92"/>
    <w:rsid w:val="004E2610"/>
    <w:rsid w:val="004E4AB2"/>
    <w:rsid w:val="004F41E4"/>
    <w:rsid w:val="00500337"/>
    <w:rsid w:val="00501A85"/>
    <w:rsid w:val="00504DAF"/>
    <w:rsid w:val="00517F92"/>
    <w:rsid w:val="00520376"/>
    <w:rsid w:val="005277C9"/>
    <w:rsid w:val="00533CC1"/>
    <w:rsid w:val="005451E1"/>
    <w:rsid w:val="005467A4"/>
    <w:rsid w:val="0054732E"/>
    <w:rsid w:val="00556190"/>
    <w:rsid w:val="00557D91"/>
    <w:rsid w:val="00566EB5"/>
    <w:rsid w:val="005719BD"/>
    <w:rsid w:val="0057537D"/>
    <w:rsid w:val="0058033F"/>
    <w:rsid w:val="00582291"/>
    <w:rsid w:val="0059071E"/>
    <w:rsid w:val="00590B73"/>
    <w:rsid w:val="005921E7"/>
    <w:rsid w:val="005B1606"/>
    <w:rsid w:val="005B3863"/>
    <w:rsid w:val="005C0303"/>
    <w:rsid w:val="005C7B7B"/>
    <w:rsid w:val="005D0997"/>
    <w:rsid w:val="005D1ED2"/>
    <w:rsid w:val="005D2BEB"/>
    <w:rsid w:val="005D6AC3"/>
    <w:rsid w:val="005D7A28"/>
    <w:rsid w:val="005E464C"/>
    <w:rsid w:val="005E5A5B"/>
    <w:rsid w:val="005F4BB0"/>
    <w:rsid w:val="006029BE"/>
    <w:rsid w:val="00611B07"/>
    <w:rsid w:val="00616447"/>
    <w:rsid w:val="006212F5"/>
    <w:rsid w:val="00632072"/>
    <w:rsid w:val="00632A81"/>
    <w:rsid w:val="00633131"/>
    <w:rsid w:val="00636A6A"/>
    <w:rsid w:val="0064699E"/>
    <w:rsid w:val="0065079C"/>
    <w:rsid w:val="006531BD"/>
    <w:rsid w:val="00660A9E"/>
    <w:rsid w:val="00664848"/>
    <w:rsid w:val="00667613"/>
    <w:rsid w:val="00671F83"/>
    <w:rsid w:val="00672E95"/>
    <w:rsid w:val="00675855"/>
    <w:rsid w:val="00677058"/>
    <w:rsid w:val="006778BA"/>
    <w:rsid w:val="00687009"/>
    <w:rsid w:val="00691052"/>
    <w:rsid w:val="006915DD"/>
    <w:rsid w:val="0069177F"/>
    <w:rsid w:val="006937F7"/>
    <w:rsid w:val="006944CC"/>
    <w:rsid w:val="006A065B"/>
    <w:rsid w:val="006A4D4C"/>
    <w:rsid w:val="006A5677"/>
    <w:rsid w:val="006B1847"/>
    <w:rsid w:val="006B638B"/>
    <w:rsid w:val="006B64A9"/>
    <w:rsid w:val="006C12ED"/>
    <w:rsid w:val="006C24B3"/>
    <w:rsid w:val="006C339A"/>
    <w:rsid w:val="006C5824"/>
    <w:rsid w:val="006E5B3D"/>
    <w:rsid w:val="006E7B07"/>
    <w:rsid w:val="006F0246"/>
    <w:rsid w:val="006F6700"/>
    <w:rsid w:val="00702FED"/>
    <w:rsid w:val="007038E3"/>
    <w:rsid w:val="00704D6E"/>
    <w:rsid w:val="007074A7"/>
    <w:rsid w:val="00720FB1"/>
    <w:rsid w:val="00721B7F"/>
    <w:rsid w:val="00740FC3"/>
    <w:rsid w:val="007415BB"/>
    <w:rsid w:val="007463AD"/>
    <w:rsid w:val="007468EE"/>
    <w:rsid w:val="007614E9"/>
    <w:rsid w:val="007665B8"/>
    <w:rsid w:val="007701DC"/>
    <w:rsid w:val="00770854"/>
    <w:rsid w:val="00783C6F"/>
    <w:rsid w:val="00785974"/>
    <w:rsid w:val="00792FFD"/>
    <w:rsid w:val="00795B56"/>
    <w:rsid w:val="0079696D"/>
    <w:rsid w:val="007A1037"/>
    <w:rsid w:val="007B1787"/>
    <w:rsid w:val="007B55C2"/>
    <w:rsid w:val="007C114B"/>
    <w:rsid w:val="007C7978"/>
    <w:rsid w:val="007D4646"/>
    <w:rsid w:val="007E1AE1"/>
    <w:rsid w:val="007E6E67"/>
    <w:rsid w:val="007E70B1"/>
    <w:rsid w:val="007F0594"/>
    <w:rsid w:val="007F614D"/>
    <w:rsid w:val="007F74A1"/>
    <w:rsid w:val="00800515"/>
    <w:rsid w:val="00807F51"/>
    <w:rsid w:val="00813E84"/>
    <w:rsid w:val="008217CC"/>
    <w:rsid w:val="00823165"/>
    <w:rsid w:val="0082717A"/>
    <w:rsid w:val="00833E7F"/>
    <w:rsid w:val="0083644B"/>
    <w:rsid w:val="00840555"/>
    <w:rsid w:val="00840615"/>
    <w:rsid w:val="00842576"/>
    <w:rsid w:val="00843345"/>
    <w:rsid w:val="00845013"/>
    <w:rsid w:val="00845555"/>
    <w:rsid w:val="00852349"/>
    <w:rsid w:val="00860B17"/>
    <w:rsid w:val="00860BB6"/>
    <w:rsid w:val="0086138E"/>
    <w:rsid w:val="008708D4"/>
    <w:rsid w:val="00871039"/>
    <w:rsid w:val="00874F2D"/>
    <w:rsid w:val="00877D50"/>
    <w:rsid w:val="0088042E"/>
    <w:rsid w:val="00880918"/>
    <w:rsid w:val="00883F5B"/>
    <w:rsid w:val="00890FCC"/>
    <w:rsid w:val="00890FD8"/>
    <w:rsid w:val="0089248D"/>
    <w:rsid w:val="008A15E8"/>
    <w:rsid w:val="008A3914"/>
    <w:rsid w:val="008A4AD1"/>
    <w:rsid w:val="008A7DB7"/>
    <w:rsid w:val="008C02B5"/>
    <w:rsid w:val="008C24AE"/>
    <w:rsid w:val="008D5EE6"/>
    <w:rsid w:val="008E27D4"/>
    <w:rsid w:val="008E2C12"/>
    <w:rsid w:val="008F1CC1"/>
    <w:rsid w:val="008F6DD4"/>
    <w:rsid w:val="00901549"/>
    <w:rsid w:val="0091163D"/>
    <w:rsid w:val="00916DD6"/>
    <w:rsid w:val="00917C63"/>
    <w:rsid w:val="00922977"/>
    <w:rsid w:val="00923F95"/>
    <w:rsid w:val="0093173B"/>
    <w:rsid w:val="00932FE6"/>
    <w:rsid w:val="00940676"/>
    <w:rsid w:val="00943003"/>
    <w:rsid w:val="009437DD"/>
    <w:rsid w:val="00944785"/>
    <w:rsid w:val="00947533"/>
    <w:rsid w:val="009529CA"/>
    <w:rsid w:val="00953905"/>
    <w:rsid w:val="00955123"/>
    <w:rsid w:val="0096196A"/>
    <w:rsid w:val="009707B0"/>
    <w:rsid w:val="00972F2B"/>
    <w:rsid w:val="009762E8"/>
    <w:rsid w:val="00977D1C"/>
    <w:rsid w:val="00981F5B"/>
    <w:rsid w:val="0099015B"/>
    <w:rsid w:val="00994E86"/>
    <w:rsid w:val="009A3C1A"/>
    <w:rsid w:val="009A46BD"/>
    <w:rsid w:val="009B05B3"/>
    <w:rsid w:val="009B5E71"/>
    <w:rsid w:val="009B6ED5"/>
    <w:rsid w:val="009D4C8E"/>
    <w:rsid w:val="009D6CD3"/>
    <w:rsid w:val="009D7D9A"/>
    <w:rsid w:val="009E22FD"/>
    <w:rsid w:val="009F20A9"/>
    <w:rsid w:val="009F34D6"/>
    <w:rsid w:val="009F3F0B"/>
    <w:rsid w:val="009F5A8F"/>
    <w:rsid w:val="009F65B1"/>
    <w:rsid w:val="00A007C5"/>
    <w:rsid w:val="00A03607"/>
    <w:rsid w:val="00A04D6C"/>
    <w:rsid w:val="00A0675E"/>
    <w:rsid w:val="00A12D5F"/>
    <w:rsid w:val="00A178B7"/>
    <w:rsid w:val="00A3141F"/>
    <w:rsid w:val="00A448FF"/>
    <w:rsid w:val="00A45859"/>
    <w:rsid w:val="00A47F3C"/>
    <w:rsid w:val="00A54ED5"/>
    <w:rsid w:val="00A55829"/>
    <w:rsid w:val="00A572A3"/>
    <w:rsid w:val="00A62B3B"/>
    <w:rsid w:val="00A64C2E"/>
    <w:rsid w:val="00A81D82"/>
    <w:rsid w:val="00A927A8"/>
    <w:rsid w:val="00A93CD2"/>
    <w:rsid w:val="00A96302"/>
    <w:rsid w:val="00A96B24"/>
    <w:rsid w:val="00AA0CF3"/>
    <w:rsid w:val="00AA70BC"/>
    <w:rsid w:val="00AB2F01"/>
    <w:rsid w:val="00AB40BE"/>
    <w:rsid w:val="00AB7200"/>
    <w:rsid w:val="00AC1102"/>
    <w:rsid w:val="00AC151C"/>
    <w:rsid w:val="00AC212F"/>
    <w:rsid w:val="00AD1AA5"/>
    <w:rsid w:val="00AD502F"/>
    <w:rsid w:val="00AE5B55"/>
    <w:rsid w:val="00AF5E95"/>
    <w:rsid w:val="00AF6168"/>
    <w:rsid w:val="00B02B58"/>
    <w:rsid w:val="00B12287"/>
    <w:rsid w:val="00B16CCE"/>
    <w:rsid w:val="00B16ECD"/>
    <w:rsid w:val="00B17091"/>
    <w:rsid w:val="00B215C4"/>
    <w:rsid w:val="00B246A4"/>
    <w:rsid w:val="00B312C3"/>
    <w:rsid w:val="00B31A44"/>
    <w:rsid w:val="00B326BD"/>
    <w:rsid w:val="00B33902"/>
    <w:rsid w:val="00B3529F"/>
    <w:rsid w:val="00B46E64"/>
    <w:rsid w:val="00B501CC"/>
    <w:rsid w:val="00B50E4A"/>
    <w:rsid w:val="00B60D54"/>
    <w:rsid w:val="00B73C4C"/>
    <w:rsid w:val="00B73FE9"/>
    <w:rsid w:val="00B75C59"/>
    <w:rsid w:val="00B923A0"/>
    <w:rsid w:val="00B92AE8"/>
    <w:rsid w:val="00B96325"/>
    <w:rsid w:val="00BA6DF3"/>
    <w:rsid w:val="00BC14B1"/>
    <w:rsid w:val="00BC1FE8"/>
    <w:rsid w:val="00BC75EC"/>
    <w:rsid w:val="00BD1724"/>
    <w:rsid w:val="00BD2ADD"/>
    <w:rsid w:val="00BD34EF"/>
    <w:rsid w:val="00BD603B"/>
    <w:rsid w:val="00BF1CED"/>
    <w:rsid w:val="00BF696C"/>
    <w:rsid w:val="00C03B2C"/>
    <w:rsid w:val="00C05611"/>
    <w:rsid w:val="00C122F9"/>
    <w:rsid w:val="00C14CB1"/>
    <w:rsid w:val="00C15718"/>
    <w:rsid w:val="00C17F68"/>
    <w:rsid w:val="00C231FC"/>
    <w:rsid w:val="00C31168"/>
    <w:rsid w:val="00C33D4C"/>
    <w:rsid w:val="00C343E9"/>
    <w:rsid w:val="00C410CD"/>
    <w:rsid w:val="00C527A5"/>
    <w:rsid w:val="00C716D7"/>
    <w:rsid w:val="00C72101"/>
    <w:rsid w:val="00C73251"/>
    <w:rsid w:val="00C75044"/>
    <w:rsid w:val="00C81823"/>
    <w:rsid w:val="00C81F18"/>
    <w:rsid w:val="00C86FAC"/>
    <w:rsid w:val="00C91577"/>
    <w:rsid w:val="00CA2D53"/>
    <w:rsid w:val="00CA4F07"/>
    <w:rsid w:val="00CA5D4A"/>
    <w:rsid w:val="00CB5C47"/>
    <w:rsid w:val="00CB64F0"/>
    <w:rsid w:val="00CC0F6D"/>
    <w:rsid w:val="00CC199F"/>
    <w:rsid w:val="00CC6B70"/>
    <w:rsid w:val="00CD1B97"/>
    <w:rsid w:val="00CD2FD2"/>
    <w:rsid w:val="00CD7873"/>
    <w:rsid w:val="00CE1E46"/>
    <w:rsid w:val="00CF0001"/>
    <w:rsid w:val="00CF1A75"/>
    <w:rsid w:val="00CF5916"/>
    <w:rsid w:val="00CF63D1"/>
    <w:rsid w:val="00CF6AB0"/>
    <w:rsid w:val="00D060E1"/>
    <w:rsid w:val="00D114D4"/>
    <w:rsid w:val="00D141E8"/>
    <w:rsid w:val="00D142B7"/>
    <w:rsid w:val="00D1570F"/>
    <w:rsid w:val="00D170D9"/>
    <w:rsid w:val="00D22792"/>
    <w:rsid w:val="00D2552C"/>
    <w:rsid w:val="00D26144"/>
    <w:rsid w:val="00D40980"/>
    <w:rsid w:val="00D44B6E"/>
    <w:rsid w:val="00D453F4"/>
    <w:rsid w:val="00D476BE"/>
    <w:rsid w:val="00D47C1D"/>
    <w:rsid w:val="00D503FE"/>
    <w:rsid w:val="00D62846"/>
    <w:rsid w:val="00D663F0"/>
    <w:rsid w:val="00D74723"/>
    <w:rsid w:val="00D77F9B"/>
    <w:rsid w:val="00D8302B"/>
    <w:rsid w:val="00D83199"/>
    <w:rsid w:val="00D8487F"/>
    <w:rsid w:val="00D8670A"/>
    <w:rsid w:val="00D905EC"/>
    <w:rsid w:val="00D916C9"/>
    <w:rsid w:val="00D96090"/>
    <w:rsid w:val="00DA3203"/>
    <w:rsid w:val="00DA3CBC"/>
    <w:rsid w:val="00DA4564"/>
    <w:rsid w:val="00DA742D"/>
    <w:rsid w:val="00DB3FF2"/>
    <w:rsid w:val="00DB4DC1"/>
    <w:rsid w:val="00DC5439"/>
    <w:rsid w:val="00DC5E68"/>
    <w:rsid w:val="00DC6061"/>
    <w:rsid w:val="00DD2C22"/>
    <w:rsid w:val="00DE28BD"/>
    <w:rsid w:val="00DE698C"/>
    <w:rsid w:val="00DE6DD7"/>
    <w:rsid w:val="00DE7282"/>
    <w:rsid w:val="00E00027"/>
    <w:rsid w:val="00E002E3"/>
    <w:rsid w:val="00E03817"/>
    <w:rsid w:val="00E109B9"/>
    <w:rsid w:val="00E10CD5"/>
    <w:rsid w:val="00E12C4E"/>
    <w:rsid w:val="00E21133"/>
    <w:rsid w:val="00E2209E"/>
    <w:rsid w:val="00E24023"/>
    <w:rsid w:val="00E32C66"/>
    <w:rsid w:val="00E35686"/>
    <w:rsid w:val="00E36CCB"/>
    <w:rsid w:val="00E376BF"/>
    <w:rsid w:val="00E4446D"/>
    <w:rsid w:val="00E50132"/>
    <w:rsid w:val="00E511B7"/>
    <w:rsid w:val="00E522FB"/>
    <w:rsid w:val="00E57FFA"/>
    <w:rsid w:val="00E602FA"/>
    <w:rsid w:val="00E6352E"/>
    <w:rsid w:val="00E64D4B"/>
    <w:rsid w:val="00E71CF8"/>
    <w:rsid w:val="00E800CB"/>
    <w:rsid w:val="00E86D7D"/>
    <w:rsid w:val="00E91A2A"/>
    <w:rsid w:val="00EA24F3"/>
    <w:rsid w:val="00EA463F"/>
    <w:rsid w:val="00EB5CD6"/>
    <w:rsid w:val="00EB7262"/>
    <w:rsid w:val="00EC3605"/>
    <w:rsid w:val="00EC4D55"/>
    <w:rsid w:val="00EC50CE"/>
    <w:rsid w:val="00ED1338"/>
    <w:rsid w:val="00EE373D"/>
    <w:rsid w:val="00EF2FC3"/>
    <w:rsid w:val="00EF4FB0"/>
    <w:rsid w:val="00F01CFA"/>
    <w:rsid w:val="00F058A6"/>
    <w:rsid w:val="00F06093"/>
    <w:rsid w:val="00F1282A"/>
    <w:rsid w:val="00F144DC"/>
    <w:rsid w:val="00F30F6E"/>
    <w:rsid w:val="00F32E14"/>
    <w:rsid w:val="00F5328B"/>
    <w:rsid w:val="00F6093D"/>
    <w:rsid w:val="00F70370"/>
    <w:rsid w:val="00F81727"/>
    <w:rsid w:val="00F849A1"/>
    <w:rsid w:val="00F8695D"/>
    <w:rsid w:val="00F902AD"/>
    <w:rsid w:val="00F96D13"/>
    <w:rsid w:val="00F96F3E"/>
    <w:rsid w:val="00FA575E"/>
    <w:rsid w:val="00FA6E83"/>
    <w:rsid w:val="00FB35E2"/>
    <w:rsid w:val="00FC507F"/>
    <w:rsid w:val="00FC61C0"/>
    <w:rsid w:val="00FC6FCF"/>
    <w:rsid w:val="00FD5E96"/>
    <w:rsid w:val="00FD7A05"/>
    <w:rsid w:val="00FE4024"/>
    <w:rsid w:val="00FE59AD"/>
    <w:rsid w:val="00FE6401"/>
    <w:rsid w:val="00FF572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fill="f" fillcolor="white" stroke="f">
      <v:fill color="white" on="f"/>
      <v:stroke on="f"/>
    </o:shapedefaults>
    <o:shapelayout v:ext="edit">
      <o:idmap v:ext="edit" data="1"/>
    </o:shapelayout>
  </w:shapeDefaults>
  <w:decimalSymbol w:val="."/>
  <w:listSeparator w:val=","/>
  <w14:docId w14:val="49908D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2792"/>
    <w:pPr>
      <w:spacing w:after="120"/>
    </w:pPr>
    <w:rPr>
      <w:rFonts w:ascii="Garamond" w:hAnsi="Garamond"/>
      <w:kern w:val="20"/>
      <w:sz w:val="22"/>
      <w:szCs w:val="24"/>
    </w:rPr>
  </w:style>
  <w:style w:type="paragraph" w:styleId="Heading1">
    <w:name w:val="heading 1"/>
    <w:basedOn w:val="Normal"/>
    <w:next w:val="Normal"/>
    <w:link w:val="Heading1Char"/>
    <w:qFormat/>
    <w:rsid w:val="00FC507F"/>
    <w:pPr>
      <w:keepNext/>
      <w:keepLines/>
      <w:pBdr>
        <w:bottom w:val="single" w:sz="4" w:space="1" w:color="auto"/>
      </w:pBdr>
      <w:tabs>
        <w:tab w:val="left" w:pos="2880"/>
      </w:tabs>
      <w:suppressAutoHyphens/>
      <w:spacing w:before="60"/>
      <w:contextualSpacing/>
      <w:outlineLvl w:val="0"/>
    </w:pPr>
    <w:rPr>
      <w:rFonts w:cs="Arial"/>
      <w:b/>
      <w:bCs/>
      <w:smallCaps/>
      <w:kern w:val="32"/>
      <w:sz w:val="32"/>
      <w:szCs w:val="36"/>
    </w:rPr>
  </w:style>
  <w:style w:type="paragraph" w:styleId="Heading2">
    <w:name w:val="heading 2"/>
    <w:basedOn w:val="Normal"/>
    <w:next w:val="Normal"/>
    <w:link w:val="Heading2Char"/>
    <w:qFormat/>
    <w:rsid w:val="00D22792"/>
    <w:pPr>
      <w:keepNext/>
      <w:keepLines/>
      <w:suppressAutoHyphens/>
      <w:spacing w:before="240" w:after="60"/>
      <w:outlineLvl w:val="1"/>
    </w:pPr>
    <w:rPr>
      <w:rFonts w:cs="Arial"/>
      <w:b/>
      <w:bCs/>
      <w:i/>
      <w:iCs/>
      <w:smallCaps/>
      <w:sz w:val="28"/>
      <w:szCs w:val="28"/>
    </w:rPr>
  </w:style>
  <w:style w:type="paragraph" w:styleId="Heading3">
    <w:name w:val="heading 3"/>
    <w:basedOn w:val="Normal"/>
    <w:next w:val="Normal"/>
    <w:qFormat/>
    <w:rsid w:val="00D22792"/>
    <w:pPr>
      <w:keepNext/>
      <w:keepLines/>
      <w:suppressAutoHyphens/>
      <w:spacing w:before="240" w:after="60"/>
      <w:outlineLvl w:val="2"/>
    </w:pPr>
    <w:rPr>
      <w:rFonts w:cs="Arial"/>
      <w:b/>
      <w:bCs/>
      <w:sz w:val="24"/>
      <w:szCs w:val="26"/>
    </w:rPr>
  </w:style>
  <w:style w:type="paragraph" w:styleId="Heading4">
    <w:name w:val="heading 4"/>
    <w:basedOn w:val="Normal"/>
    <w:next w:val="Normal"/>
    <w:link w:val="Heading4Char"/>
    <w:qFormat/>
    <w:rsid w:val="00D22792"/>
    <w:pPr>
      <w:keepNext/>
      <w:jc w:val="center"/>
      <w:outlineLvl w:val="3"/>
    </w:pPr>
    <w:rPr>
      <w:b/>
      <w:snapToGrid w:val="0"/>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852349"/>
    <w:rPr>
      <w:color w:val="0000FF"/>
      <w:u w:val="single"/>
    </w:rPr>
  </w:style>
  <w:style w:type="character" w:styleId="FollowedHyperlink">
    <w:name w:val="FollowedHyperlink"/>
    <w:basedOn w:val="DefaultParagraphFont"/>
    <w:rsid w:val="00852349"/>
    <w:rPr>
      <w:color w:val="800080"/>
      <w:u w:val="single"/>
    </w:rPr>
  </w:style>
  <w:style w:type="paragraph" w:styleId="Header">
    <w:name w:val="header"/>
    <w:basedOn w:val="Normal"/>
    <w:rsid w:val="00582291"/>
    <w:pPr>
      <w:tabs>
        <w:tab w:val="right" w:pos="8640"/>
      </w:tabs>
    </w:pPr>
    <w:rPr>
      <w:rFonts w:ascii="Arial" w:hAnsi="Arial"/>
      <w:sz w:val="20"/>
    </w:rPr>
  </w:style>
  <w:style w:type="paragraph" w:styleId="Footer">
    <w:name w:val="footer"/>
    <w:basedOn w:val="Normal"/>
    <w:link w:val="FooterChar"/>
    <w:rsid w:val="00582291"/>
    <w:pPr>
      <w:tabs>
        <w:tab w:val="right" w:pos="8640"/>
      </w:tabs>
      <w:spacing w:after="0"/>
    </w:pPr>
    <w:rPr>
      <w:rFonts w:ascii="Arial" w:hAnsi="Arial"/>
      <w:sz w:val="20"/>
    </w:rPr>
  </w:style>
  <w:style w:type="character" w:styleId="PageNumber">
    <w:name w:val="page number"/>
    <w:basedOn w:val="DefaultParagraphFont"/>
    <w:rsid w:val="00D476BE"/>
  </w:style>
  <w:style w:type="paragraph" w:customStyle="1" w:styleId="References">
    <w:name w:val="References"/>
    <w:basedOn w:val="Normal"/>
    <w:link w:val="ReferencesChar"/>
    <w:qFormat/>
    <w:rsid w:val="00D22792"/>
    <w:pPr>
      <w:ind w:left="360" w:hanging="360"/>
    </w:pPr>
    <w:rPr>
      <w:sz w:val="20"/>
    </w:rPr>
  </w:style>
  <w:style w:type="paragraph" w:styleId="BalloonText">
    <w:name w:val="Balloon Text"/>
    <w:basedOn w:val="Normal"/>
    <w:semiHidden/>
    <w:rsid w:val="002009F4"/>
    <w:rPr>
      <w:rFonts w:ascii="Tahoma" w:hAnsi="Tahoma" w:cs="Tahoma"/>
      <w:sz w:val="16"/>
      <w:szCs w:val="16"/>
    </w:rPr>
  </w:style>
  <w:style w:type="character" w:styleId="Strong">
    <w:name w:val="Strong"/>
    <w:basedOn w:val="DefaultParagraphFont"/>
    <w:uiPriority w:val="22"/>
    <w:qFormat/>
    <w:rsid w:val="00D22792"/>
    <w:rPr>
      <w:b/>
      <w:bCs/>
    </w:rPr>
  </w:style>
  <w:style w:type="table" w:styleId="TableGrid">
    <w:name w:val="Table Grid"/>
    <w:basedOn w:val="TableNormal"/>
    <w:uiPriority w:val="39"/>
    <w:rsid w:val="00B312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link w:val="Footer"/>
    <w:rsid w:val="00B312C3"/>
    <w:rPr>
      <w:rFonts w:ascii="Arial" w:hAnsi="Arial"/>
      <w:szCs w:val="24"/>
    </w:rPr>
  </w:style>
  <w:style w:type="character" w:customStyle="1" w:styleId="Heading1Char">
    <w:name w:val="Heading 1 Char"/>
    <w:basedOn w:val="DefaultParagraphFont"/>
    <w:link w:val="Heading1"/>
    <w:rsid w:val="00FC507F"/>
    <w:rPr>
      <w:rFonts w:ascii="Garamond" w:hAnsi="Garamond" w:cs="Arial"/>
      <w:b/>
      <w:bCs/>
      <w:smallCaps/>
      <w:kern w:val="32"/>
      <w:sz w:val="32"/>
      <w:szCs w:val="36"/>
    </w:rPr>
  </w:style>
  <w:style w:type="character" w:styleId="PlaceholderText">
    <w:name w:val="Placeholder Text"/>
    <w:basedOn w:val="DefaultParagraphFont"/>
    <w:uiPriority w:val="99"/>
    <w:semiHidden/>
    <w:rsid w:val="00196791"/>
    <w:rPr>
      <w:color w:val="808080"/>
    </w:rPr>
  </w:style>
  <w:style w:type="paragraph" w:styleId="Title">
    <w:name w:val="Title"/>
    <w:basedOn w:val="Normal"/>
    <w:next w:val="Normal"/>
    <w:link w:val="TitleChar"/>
    <w:uiPriority w:val="10"/>
    <w:rsid w:val="0028668E"/>
    <w:pPr>
      <w:pBdr>
        <w:bottom w:val="single" w:sz="8" w:space="4" w:color="5B9BD5" w:themeColor="accent1"/>
      </w:pBdr>
      <w:contextualSpacing/>
    </w:pPr>
    <w:rPr>
      <w:rFonts w:eastAsiaTheme="majorEastAsia" w:cstheme="majorBidi"/>
      <w:b/>
      <w:color w:val="323E4F" w:themeColor="text2" w:themeShade="BF"/>
      <w:spacing w:val="5"/>
      <w:kern w:val="28"/>
      <w:sz w:val="32"/>
      <w:szCs w:val="32"/>
    </w:rPr>
  </w:style>
  <w:style w:type="character" w:customStyle="1" w:styleId="TitleChar">
    <w:name w:val="Title Char"/>
    <w:basedOn w:val="DefaultParagraphFont"/>
    <w:link w:val="Title"/>
    <w:uiPriority w:val="10"/>
    <w:rsid w:val="0028668E"/>
    <w:rPr>
      <w:rFonts w:ascii="Garamond" w:eastAsiaTheme="majorEastAsia" w:hAnsi="Garamond" w:cstheme="majorBidi"/>
      <w:b/>
      <w:color w:val="323E4F" w:themeColor="text2" w:themeShade="BF"/>
      <w:spacing w:val="5"/>
      <w:kern w:val="28"/>
      <w:sz w:val="32"/>
      <w:szCs w:val="32"/>
    </w:rPr>
  </w:style>
  <w:style w:type="paragraph" w:styleId="ListParagraph">
    <w:name w:val="List Paragraph"/>
    <w:basedOn w:val="Normal"/>
    <w:uiPriority w:val="34"/>
    <w:qFormat/>
    <w:rsid w:val="00D22792"/>
    <w:pPr>
      <w:ind w:left="720"/>
      <w:contextualSpacing/>
    </w:pPr>
  </w:style>
  <w:style w:type="paragraph" w:customStyle="1" w:styleId="PaperInfo">
    <w:name w:val="Paper_Info"/>
    <w:basedOn w:val="Normal"/>
    <w:link w:val="PaperInfoChar"/>
    <w:qFormat/>
    <w:rsid w:val="006A065B"/>
    <w:pPr>
      <w:tabs>
        <w:tab w:val="left" w:pos="2880"/>
      </w:tabs>
    </w:pPr>
  </w:style>
  <w:style w:type="character" w:customStyle="1" w:styleId="PaperInfoChar">
    <w:name w:val="Paper_Info Char"/>
    <w:basedOn w:val="DefaultParagraphFont"/>
    <w:link w:val="PaperInfo"/>
    <w:rsid w:val="006A065B"/>
    <w:rPr>
      <w:rFonts w:ascii="Garamond" w:hAnsi="Garamond"/>
      <w:kern w:val="20"/>
      <w:sz w:val="22"/>
      <w:szCs w:val="24"/>
    </w:rPr>
  </w:style>
  <w:style w:type="paragraph" w:customStyle="1" w:styleId="Abstract">
    <w:name w:val="Abstract"/>
    <w:basedOn w:val="Heading1"/>
    <w:link w:val="AbstractChar"/>
    <w:qFormat/>
    <w:rsid w:val="00D22792"/>
    <w:pPr>
      <w:spacing w:after="0"/>
    </w:pPr>
    <w:rPr>
      <w:color w:val="595959" w:themeColor="text1" w:themeTint="A6"/>
      <w:sz w:val="36"/>
    </w:rPr>
  </w:style>
  <w:style w:type="paragraph" w:styleId="FootnoteText">
    <w:name w:val="footnote text"/>
    <w:basedOn w:val="Normal"/>
    <w:link w:val="FootnoteTextChar"/>
    <w:uiPriority w:val="99"/>
    <w:semiHidden/>
    <w:unhideWhenUsed/>
    <w:rsid w:val="0038224E"/>
    <w:pPr>
      <w:spacing w:after="0"/>
    </w:pPr>
    <w:rPr>
      <w:sz w:val="20"/>
      <w:szCs w:val="20"/>
    </w:rPr>
  </w:style>
  <w:style w:type="character" w:customStyle="1" w:styleId="AbstractChar">
    <w:name w:val="Abstract Char"/>
    <w:basedOn w:val="Heading1Char"/>
    <w:link w:val="Abstract"/>
    <w:rsid w:val="00D22792"/>
    <w:rPr>
      <w:rFonts w:ascii="Garamond" w:hAnsi="Garamond" w:cs="Arial"/>
      <w:b/>
      <w:bCs/>
      <w:smallCaps/>
      <w:color w:val="595959" w:themeColor="text1" w:themeTint="A6"/>
      <w:kern w:val="32"/>
      <w:sz w:val="36"/>
      <w:szCs w:val="36"/>
    </w:rPr>
  </w:style>
  <w:style w:type="character" w:customStyle="1" w:styleId="FootnoteTextChar">
    <w:name w:val="Footnote Text Char"/>
    <w:basedOn w:val="DefaultParagraphFont"/>
    <w:link w:val="FootnoteText"/>
    <w:uiPriority w:val="99"/>
    <w:semiHidden/>
    <w:rsid w:val="0038224E"/>
    <w:rPr>
      <w:rFonts w:ascii="Garamond" w:hAnsi="Garamond"/>
      <w:kern w:val="20"/>
    </w:rPr>
  </w:style>
  <w:style w:type="character" w:styleId="FootnoteReference">
    <w:name w:val="footnote reference"/>
    <w:basedOn w:val="DefaultParagraphFont"/>
    <w:uiPriority w:val="99"/>
    <w:semiHidden/>
    <w:unhideWhenUsed/>
    <w:rsid w:val="0038224E"/>
    <w:rPr>
      <w:vertAlign w:val="superscript"/>
    </w:rPr>
  </w:style>
  <w:style w:type="character" w:customStyle="1" w:styleId="Heading2Char">
    <w:name w:val="Heading 2 Char"/>
    <w:basedOn w:val="DefaultParagraphFont"/>
    <w:link w:val="Heading2"/>
    <w:rsid w:val="00D22792"/>
    <w:rPr>
      <w:rFonts w:ascii="Garamond" w:hAnsi="Garamond" w:cs="Arial"/>
      <w:b/>
      <w:bCs/>
      <w:i/>
      <w:iCs/>
      <w:smallCaps/>
      <w:kern w:val="20"/>
      <w:sz w:val="28"/>
      <w:szCs w:val="28"/>
    </w:rPr>
  </w:style>
  <w:style w:type="character" w:customStyle="1" w:styleId="ReferencesChar">
    <w:name w:val="References Char"/>
    <w:link w:val="References"/>
    <w:locked/>
    <w:rsid w:val="00D22792"/>
    <w:rPr>
      <w:rFonts w:ascii="Garamond" w:hAnsi="Garamond"/>
      <w:kern w:val="20"/>
      <w:szCs w:val="24"/>
    </w:rPr>
  </w:style>
  <w:style w:type="paragraph" w:customStyle="1" w:styleId="RefJournal">
    <w:name w:val="Ref Journal"/>
    <w:basedOn w:val="References"/>
    <w:link w:val="RefJournalChar"/>
    <w:rsid w:val="0099015B"/>
  </w:style>
  <w:style w:type="character" w:customStyle="1" w:styleId="RefJournalChar">
    <w:name w:val="Ref Journal Char"/>
    <w:basedOn w:val="ReferencesChar"/>
    <w:link w:val="RefJournal"/>
    <w:rsid w:val="0099015B"/>
    <w:rPr>
      <w:rFonts w:ascii="Garamond" w:hAnsi="Garamond"/>
      <w:kern w:val="20"/>
      <w:szCs w:val="24"/>
    </w:rPr>
  </w:style>
  <w:style w:type="paragraph" w:customStyle="1" w:styleId="PaperTitle">
    <w:name w:val="Paper Title"/>
    <w:basedOn w:val="Heading1"/>
    <w:link w:val="PaperTitleChar"/>
    <w:qFormat/>
    <w:rsid w:val="00D22792"/>
    <w:pPr>
      <w:jc w:val="center"/>
    </w:pPr>
    <w:rPr>
      <w:sz w:val="36"/>
    </w:rPr>
  </w:style>
  <w:style w:type="character" w:customStyle="1" w:styleId="PaperTitleChar">
    <w:name w:val="Paper Title Char"/>
    <w:basedOn w:val="Heading1Char"/>
    <w:link w:val="PaperTitle"/>
    <w:rsid w:val="00D22792"/>
    <w:rPr>
      <w:rFonts w:ascii="Garamond" w:hAnsi="Garamond" w:cs="Arial"/>
      <w:b/>
      <w:bCs/>
      <w:smallCaps/>
      <w:kern w:val="32"/>
      <w:sz w:val="36"/>
      <w:szCs w:val="36"/>
    </w:rPr>
  </w:style>
  <w:style w:type="character" w:customStyle="1" w:styleId="UnresolvedMention1">
    <w:name w:val="Unresolved Mention1"/>
    <w:basedOn w:val="DefaultParagraphFont"/>
    <w:uiPriority w:val="99"/>
    <w:semiHidden/>
    <w:unhideWhenUsed/>
    <w:rsid w:val="006A4D4C"/>
    <w:rPr>
      <w:color w:val="808080"/>
      <w:shd w:val="clear" w:color="auto" w:fill="E6E6E6"/>
    </w:rPr>
  </w:style>
  <w:style w:type="character" w:styleId="CommentReference">
    <w:name w:val="annotation reference"/>
    <w:basedOn w:val="DefaultParagraphFont"/>
    <w:uiPriority w:val="99"/>
    <w:semiHidden/>
    <w:unhideWhenUsed/>
    <w:rsid w:val="00EF2FC3"/>
    <w:rPr>
      <w:sz w:val="16"/>
      <w:szCs w:val="16"/>
    </w:rPr>
  </w:style>
  <w:style w:type="paragraph" w:styleId="CommentText">
    <w:name w:val="annotation text"/>
    <w:basedOn w:val="Normal"/>
    <w:link w:val="CommentTextChar"/>
    <w:uiPriority w:val="99"/>
    <w:semiHidden/>
    <w:unhideWhenUsed/>
    <w:rsid w:val="005E5A5B"/>
    <w:pPr>
      <w:spacing w:after="160"/>
    </w:pPr>
    <w:rPr>
      <w:rFonts w:ascii="Times New Roman" w:eastAsiaTheme="minorHAnsi" w:hAnsi="Times New Roman"/>
      <w:kern w:val="0"/>
      <w:sz w:val="20"/>
      <w:szCs w:val="20"/>
    </w:rPr>
  </w:style>
  <w:style w:type="character" w:customStyle="1" w:styleId="CommentTextChar">
    <w:name w:val="Comment Text Char"/>
    <w:basedOn w:val="DefaultParagraphFont"/>
    <w:link w:val="CommentText"/>
    <w:uiPriority w:val="99"/>
    <w:semiHidden/>
    <w:rsid w:val="005E5A5B"/>
    <w:rPr>
      <w:rFonts w:eastAsiaTheme="minorHAnsi"/>
    </w:rPr>
  </w:style>
  <w:style w:type="character" w:styleId="Emphasis">
    <w:name w:val="Emphasis"/>
    <w:basedOn w:val="DefaultParagraphFont"/>
    <w:uiPriority w:val="20"/>
    <w:qFormat/>
    <w:rsid w:val="005E5A5B"/>
    <w:rPr>
      <w:i/>
      <w:iCs/>
    </w:rPr>
  </w:style>
  <w:style w:type="paragraph" w:styleId="CommentSubject">
    <w:name w:val="annotation subject"/>
    <w:basedOn w:val="CommentText"/>
    <w:next w:val="CommentText"/>
    <w:link w:val="CommentSubjectChar"/>
    <w:uiPriority w:val="99"/>
    <w:semiHidden/>
    <w:unhideWhenUsed/>
    <w:rsid w:val="00D8302B"/>
    <w:pPr>
      <w:spacing w:after="120"/>
    </w:pPr>
    <w:rPr>
      <w:rFonts w:ascii="Garamond" w:eastAsia="Times New Roman" w:hAnsi="Garamond"/>
      <w:b/>
      <w:bCs/>
      <w:kern w:val="20"/>
    </w:rPr>
  </w:style>
  <w:style w:type="character" w:customStyle="1" w:styleId="CommentSubjectChar">
    <w:name w:val="Comment Subject Char"/>
    <w:basedOn w:val="CommentTextChar"/>
    <w:link w:val="CommentSubject"/>
    <w:uiPriority w:val="99"/>
    <w:semiHidden/>
    <w:rsid w:val="00D8302B"/>
    <w:rPr>
      <w:rFonts w:ascii="Garamond" w:eastAsiaTheme="minorHAnsi" w:hAnsi="Garamond"/>
      <w:b/>
      <w:bCs/>
      <w:kern w:val="20"/>
    </w:rPr>
  </w:style>
  <w:style w:type="paragraph" w:styleId="Revision">
    <w:name w:val="Revision"/>
    <w:hidden/>
    <w:uiPriority w:val="99"/>
    <w:semiHidden/>
    <w:rsid w:val="00FC6FCF"/>
    <w:rPr>
      <w:rFonts w:ascii="Garamond" w:hAnsi="Garamond"/>
      <w:kern w:val="20"/>
      <w:sz w:val="22"/>
      <w:szCs w:val="24"/>
    </w:rPr>
  </w:style>
  <w:style w:type="character" w:customStyle="1" w:styleId="Heading4Char">
    <w:name w:val="Heading 4 Char"/>
    <w:basedOn w:val="DefaultParagraphFont"/>
    <w:link w:val="Heading4"/>
    <w:rsid w:val="00CB64F0"/>
    <w:rPr>
      <w:rFonts w:ascii="Garamond" w:hAnsi="Garamond"/>
      <w:b/>
      <w:snapToGrid w:val="0"/>
      <w:kern w:val="20"/>
      <w:sz w:val="18"/>
      <w:szCs w:val="24"/>
    </w:rPr>
  </w:style>
  <w:style w:type="character" w:customStyle="1" w:styleId="meta">
    <w:name w:val="meta"/>
    <w:basedOn w:val="DefaultParagraphFont"/>
    <w:rsid w:val="00E00027"/>
  </w:style>
  <w:style w:type="character" w:customStyle="1" w:styleId="UnresolvedMention2">
    <w:name w:val="Unresolved Mention2"/>
    <w:basedOn w:val="DefaultParagraphFont"/>
    <w:uiPriority w:val="99"/>
    <w:semiHidden/>
    <w:unhideWhenUsed/>
    <w:rsid w:val="00253945"/>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2792"/>
    <w:pPr>
      <w:spacing w:after="120"/>
    </w:pPr>
    <w:rPr>
      <w:rFonts w:ascii="Garamond" w:hAnsi="Garamond"/>
      <w:kern w:val="20"/>
      <w:sz w:val="22"/>
      <w:szCs w:val="24"/>
    </w:rPr>
  </w:style>
  <w:style w:type="paragraph" w:styleId="Heading1">
    <w:name w:val="heading 1"/>
    <w:basedOn w:val="Normal"/>
    <w:next w:val="Normal"/>
    <w:link w:val="Heading1Char"/>
    <w:qFormat/>
    <w:rsid w:val="00FC507F"/>
    <w:pPr>
      <w:keepNext/>
      <w:keepLines/>
      <w:pBdr>
        <w:bottom w:val="single" w:sz="4" w:space="1" w:color="auto"/>
      </w:pBdr>
      <w:tabs>
        <w:tab w:val="left" w:pos="2880"/>
      </w:tabs>
      <w:suppressAutoHyphens/>
      <w:spacing w:before="60"/>
      <w:contextualSpacing/>
      <w:outlineLvl w:val="0"/>
    </w:pPr>
    <w:rPr>
      <w:rFonts w:cs="Arial"/>
      <w:b/>
      <w:bCs/>
      <w:smallCaps/>
      <w:kern w:val="32"/>
      <w:sz w:val="32"/>
      <w:szCs w:val="36"/>
    </w:rPr>
  </w:style>
  <w:style w:type="paragraph" w:styleId="Heading2">
    <w:name w:val="heading 2"/>
    <w:basedOn w:val="Normal"/>
    <w:next w:val="Normal"/>
    <w:link w:val="Heading2Char"/>
    <w:qFormat/>
    <w:rsid w:val="00D22792"/>
    <w:pPr>
      <w:keepNext/>
      <w:keepLines/>
      <w:suppressAutoHyphens/>
      <w:spacing w:before="240" w:after="60"/>
      <w:outlineLvl w:val="1"/>
    </w:pPr>
    <w:rPr>
      <w:rFonts w:cs="Arial"/>
      <w:b/>
      <w:bCs/>
      <w:i/>
      <w:iCs/>
      <w:smallCaps/>
      <w:sz w:val="28"/>
      <w:szCs w:val="28"/>
    </w:rPr>
  </w:style>
  <w:style w:type="paragraph" w:styleId="Heading3">
    <w:name w:val="heading 3"/>
    <w:basedOn w:val="Normal"/>
    <w:next w:val="Normal"/>
    <w:qFormat/>
    <w:rsid w:val="00D22792"/>
    <w:pPr>
      <w:keepNext/>
      <w:keepLines/>
      <w:suppressAutoHyphens/>
      <w:spacing w:before="240" w:after="60"/>
      <w:outlineLvl w:val="2"/>
    </w:pPr>
    <w:rPr>
      <w:rFonts w:cs="Arial"/>
      <w:b/>
      <w:bCs/>
      <w:sz w:val="24"/>
      <w:szCs w:val="26"/>
    </w:rPr>
  </w:style>
  <w:style w:type="paragraph" w:styleId="Heading4">
    <w:name w:val="heading 4"/>
    <w:basedOn w:val="Normal"/>
    <w:next w:val="Normal"/>
    <w:link w:val="Heading4Char"/>
    <w:qFormat/>
    <w:rsid w:val="00D22792"/>
    <w:pPr>
      <w:keepNext/>
      <w:jc w:val="center"/>
      <w:outlineLvl w:val="3"/>
    </w:pPr>
    <w:rPr>
      <w:b/>
      <w:snapToGrid w:val="0"/>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852349"/>
    <w:rPr>
      <w:color w:val="0000FF"/>
      <w:u w:val="single"/>
    </w:rPr>
  </w:style>
  <w:style w:type="character" w:styleId="FollowedHyperlink">
    <w:name w:val="FollowedHyperlink"/>
    <w:basedOn w:val="DefaultParagraphFont"/>
    <w:rsid w:val="00852349"/>
    <w:rPr>
      <w:color w:val="800080"/>
      <w:u w:val="single"/>
    </w:rPr>
  </w:style>
  <w:style w:type="paragraph" w:styleId="Header">
    <w:name w:val="header"/>
    <w:basedOn w:val="Normal"/>
    <w:rsid w:val="00582291"/>
    <w:pPr>
      <w:tabs>
        <w:tab w:val="right" w:pos="8640"/>
      </w:tabs>
    </w:pPr>
    <w:rPr>
      <w:rFonts w:ascii="Arial" w:hAnsi="Arial"/>
      <w:sz w:val="20"/>
    </w:rPr>
  </w:style>
  <w:style w:type="paragraph" w:styleId="Footer">
    <w:name w:val="footer"/>
    <w:basedOn w:val="Normal"/>
    <w:link w:val="FooterChar"/>
    <w:rsid w:val="00582291"/>
    <w:pPr>
      <w:tabs>
        <w:tab w:val="right" w:pos="8640"/>
      </w:tabs>
      <w:spacing w:after="0"/>
    </w:pPr>
    <w:rPr>
      <w:rFonts w:ascii="Arial" w:hAnsi="Arial"/>
      <w:sz w:val="20"/>
    </w:rPr>
  </w:style>
  <w:style w:type="character" w:styleId="PageNumber">
    <w:name w:val="page number"/>
    <w:basedOn w:val="DefaultParagraphFont"/>
    <w:rsid w:val="00D476BE"/>
  </w:style>
  <w:style w:type="paragraph" w:customStyle="1" w:styleId="References">
    <w:name w:val="References"/>
    <w:basedOn w:val="Normal"/>
    <w:link w:val="ReferencesChar"/>
    <w:qFormat/>
    <w:rsid w:val="00D22792"/>
    <w:pPr>
      <w:ind w:left="360" w:hanging="360"/>
    </w:pPr>
    <w:rPr>
      <w:sz w:val="20"/>
    </w:rPr>
  </w:style>
  <w:style w:type="paragraph" w:styleId="BalloonText">
    <w:name w:val="Balloon Text"/>
    <w:basedOn w:val="Normal"/>
    <w:semiHidden/>
    <w:rsid w:val="002009F4"/>
    <w:rPr>
      <w:rFonts w:ascii="Tahoma" w:hAnsi="Tahoma" w:cs="Tahoma"/>
      <w:sz w:val="16"/>
      <w:szCs w:val="16"/>
    </w:rPr>
  </w:style>
  <w:style w:type="character" w:styleId="Strong">
    <w:name w:val="Strong"/>
    <w:basedOn w:val="DefaultParagraphFont"/>
    <w:uiPriority w:val="22"/>
    <w:qFormat/>
    <w:rsid w:val="00D22792"/>
    <w:rPr>
      <w:b/>
      <w:bCs/>
    </w:rPr>
  </w:style>
  <w:style w:type="table" w:styleId="TableGrid">
    <w:name w:val="Table Grid"/>
    <w:basedOn w:val="TableNormal"/>
    <w:uiPriority w:val="39"/>
    <w:rsid w:val="00B312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link w:val="Footer"/>
    <w:rsid w:val="00B312C3"/>
    <w:rPr>
      <w:rFonts w:ascii="Arial" w:hAnsi="Arial"/>
      <w:szCs w:val="24"/>
    </w:rPr>
  </w:style>
  <w:style w:type="character" w:customStyle="1" w:styleId="Heading1Char">
    <w:name w:val="Heading 1 Char"/>
    <w:basedOn w:val="DefaultParagraphFont"/>
    <w:link w:val="Heading1"/>
    <w:rsid w:val="00FC507F"/>
    <w:rPr>
      <w:rFonts w:ascii="Garamond" w:hAnsi="Garamond" w:cs="Arial"/>
      <w:b/>
      <w:bCs/>
      <w:smallCaps/>
      <w:kern w:val="32"/>
      <w:sz w:val="32"/>
      <w:szCs w:val="36"/>
    </w:rPr>
  </w:style>
  <w:style w:type="character" w:styleId="PlaceholderText">
    <w:name w:val="Placeholder Text"/>
    <w:basedOn w:val="DefaultParagraphFont"/>
    <w:uiPriority w:val="99"/>
    <w:semiHidden/>
    <w:rsid w:val="00196791"/>
    <w:rPr>
      <w:color w:val="808080"/>
    </w:rPr>
  </w:style>
  <w:style w:type="paragraph" w:styleId="Title">
    <w:name w:val="Title"/>
    <w:basedOn w:val="Normal"/>
    <w:next w:val="Normal"/>
    <w:link w:val="TitleChar"/>
    <w:uiPriority w:val="10"/>
    <w:rsid w:val="0028668E"/>
    <w:pPr>
      <w:pBdr>
        <w:bottom w:val="single" w:sz="8" w:space="4" w:color="5B9BD5" w:themeColor="accent1"/>
      </w:pBdr>
      <w:contextualSpacing/>
    </w:pPr>
    <w:rPr>
      <w:rFonts w:eastAsiaTheme="majorEastAsia" w:cstheme="majorBidi"/>
      <w:b/>
      <w:color w:val="323E4F" w:themeColor="text2" w:themeShade="BF"/>
      <w:spacing w:val="5"/>
      <w:kern w:val="28"/>
      <w:sz w:val="32"/>
      <w:szCs w:val="32"/>
    </w:rPr>
  </w:style>
  <w:style w:type="character" w:customStyle="1" w:styleId="TitleChar">
    <w:name w:val="Title Char"/>
    <w:basedOn w:val="DefaultParagraphFont"/>
    <w:link w:val="Title"/>
    <w:uiPriority w:val="10"/>
    <w:rsid w:val="0028668E"/>
    <w:rPr>
      <w:rFonts w:ascii="Garamond" w:eastAsiaTheme="majorEastAsia" w:hAnsi="Garamond" w:cstheme="majorBidi"/>
      <w:b/>
      <w:color w:val="323E4F" w:themeColor="text2" w:themeShade="BF"/>
      <w:spacing w:val="5"/>
      <w:kern w:val="28"/>
      <w:sz w:val="32"/>
      <w:szCs w:val="32"/>
    </w:rPr>
  </w:style>
  <w:style w:type="paragraph" w:styleId="ListParagraph">
    <w:name w:val="List Paragraph"/>
    <w:basedOn w:val="Normal"/>
    <w:uiPriority w:val="34"/>
    <w:qFormat/>
    <w:rsid w:val="00D22792"/>
    <w:pPr>
      <w:ind w:left="720"/>
      <w:contextualSpacing/>
    </w:pPr>
  </w:style>
  <w:style w:type="paragraph" w:customStyle="1" w:styleId="PaperInfo">
    <w:name w:val="Paper_Info"/>
    <w:basedOn w:val="Normal"/>
    <w:link w:val="PaperInfoChar"/>
    <w:qFormat/>
    <w:rsid w:val="006A065B"/>
    <w:pPr>
      <w:tabs>
        <w:tab w:val="left" w:pos="2880"/>
      </w:tabs>
    </w:pPr>
  </w:style>
  <w:style w:type="character" w:customStyle="1" w:styleId="PaperInfoChar">
    <w:name w:val="Paper_Info Char"/>
    <w:basedOn w:val="DefaultParagraphFont"/>
    <w:link w:val="PaperInfo"/>
    <w:rsid w:val="006A065B"/>
    <w:rPr>
      <w:rFonts w:ascii="Garamond" w:hAnsi="Garamond"/>
      <w:kern w:val="20"/>
      <w:sz w:val="22"/>
      <w:szCs w:val="24"/>
    </w:rPr>
  </w:style>
  <w:style w:type="paragraph" w:customStyle="1" w:styleId="Abstract">
    <w:name w:val="Abstract"/>
    <w:basedOn w:val="Heading1"/>
    <w:link w:val="AbstractChar"/>
    <w:qFormat/>
    <w:rsid w:val="00D22792"/>
    <w:pPr>
      <w:spacing w:after="0"/>
    </w:pPr>
    <w:rPr>
      <w:color w:val="595959" w:themeColor="text1" w:themeTint="A6"/>
      <w:sz w:val="36"/>
    </w:rPr>
  </w:style>
  <w:style w:type="paragraph" w:styleId="FootnoteText">
    <w:name w:val="footnote text"/>
    <w:basedOn w:val="Normal"/>
    <w:link w:val="FootnoteTextChar"/>
    <w:uiPriority w:val="99"/>
    <w:semiHidden/>
    <w:unhideWhenUsed/>
    <w:rsid w:val="0038224E"/>
    <w:pPr>
      <w:spacing w:after="0"/>
    </w:pPr>
    <w:rPr>
      <w:sz w:val="20"/>
      <w:szCs w:val="20"/>
    </w:rPr>
  </w:style>
  <w:style w:type="character" w:customStyle="1" w:styleId="AbstractChar">
    <w:name w:val="Abstract Char"/>
    <w:basedOn w:val="Heading1Char"/>
    <w:link w:val="Abstract"/>
    <w:rsid w:val="00D22792"/>
    <w:rPr>
      <w:rFonts w:ascii="Garamond" w:hAnsi="Garamond" w:cs="Arial"/>
      <w:b/>
      <w:bCs/>
      <w:smallCaps/>
      <w:color w:val="595959" w:themeColor="text1" w:themeTint="A6"/>
      <w:kern w:val="32"/>
      <w:sz w:val="36"/>
      <w:szCs w:val="36"/>
    </w:rPr>
  </w:style>
  <w:style w:type="character" w:customStyle="1" w:styleId="FootnoteTextChar">
    <w:name w:val="Footnote Text Char"/>
    <w:basedOn w:val="DefaultParagraphFont"/>
    <w:link w:val="FootnoteText"/>
    <w:uiPriority w:val="99"/>
    <w:semiHidden/>
    <w:rsid w:val="0038224E"/>
    <w:rPr>
      <w:rFonts w:ascii="Garamond" w:hAnsi="Garamond"/>
      <w:kern w:val="20"/>
    </w:rPr>
  </w:style>
  <w:style w:type="character" w:styleId="FootnoteReference">
    <w:name w:val="footnote reference"/>
    <w:basedOn w:val="DefaultParagraphFont"/>
    <w:uiPriority w:val="99"/>
    <w:semiHidden/>
    <w:unhideWhenUsed/>
    <w:rsid w:val="0038224E"/>
    <w:rPr>
      <w:vertAlign w:val="superscript"/>
    </w:rPr>
  </w:style>
  <w:style w:type="character" w:customStyle="1" w:styleId="Heading2Char">
    <w:name w:val="Heading 2 Char"/>
    <w:basedOn w:val="DefaultParagraphFont"/>
    <w:link w:val="Heading2"/>
    <w:rsid w:val="00D22792"/>
    <w:rPr>
      <w:rFonts w:ascii="Garamond" w:hAnsi="Garamond" w:cs="Arial"/>
      <w:b/>
      <w:bCs/>
      <w:i/>
      <w:iCs/>
      <w:smallCaps/>
      <w:kern w:val="20"/>
      <w:sz w:val="28"/>
      <w:szCs w:val="28"/>
    </w:rPr>
  </w:style>
  <w:style w:type="character" w:customStyle="1" w:styleId="ReferencesChar">
    <w:name w:val="References Char"/>
    <w:link w:val="References"/>
    <w:locked/>
    <w:rsid w:val="00D22792"/>
    <w:rPr>
      <w:rFonts w:ascii="Garamond" w:hAnsi="Garamond"/>
      <w:kern w:val="20"/>
      <w:szCs w:val="24"/>
    </w:rPr>
  </w:style>
  <w:style w:type="paragraph" w:customStyle="1" w:styleId="RefJournal">
    <w:name w:val="Ref Journal"/>
    <w:basedOn w:val="References"/>
    <w:link w:val="RefJournalChar"/>
    <w:rsid w:val="0099015B"/>
  </w:style>
  <w:style w:type="character" w:customStyle="1" w:styleId="RefJournalChar">
    <w:name w:val="Ref Journal Char"/>
    <w:basedOn w:val="ReferencesChar"/>
    <w:link w:val="RefJournal"/>
    <w:rsid w:val="0099015B"/>
    <w:rPr>
      <w:rFonts w:ascii="Garamond" w:hAnsi="Garamond"/>
      <w:kern w:val="20"/>
      <w:szCs w:val="24"/>
    </w:rPr>
  </w:style>
  <w:style w:type="paragraph" w:customStyle="1" w:styleId="PaperTitle">
    <w:name w:val="Paper Title"/>
    <w:basedOn w:val="Heading1"/>
    <w:link w:val="PaperTitleChar"/>
    <w:qFormat/>
    <w:rsid w:val="00D22792"/>
    <w:pPr>
      <w:jc w:val="center"/>
    </w:pPr>
    <w:rPr>
      <w:sz w:val="36"/>
    </w:rPr>
  </w:style>
  <w:style w:type="character" w:customStyle="1" w:styleId="PaperTitleChar">
    <w:name w:val="Paper Title Char"/>
    <w:basedOn w:val="Heading1Char"/>
    <w:link w:val="PaperTitle"/>
    <w:rsid w:val="00D22792"/>
    <w:rPr>
      <w:rFonts w:ascii="Garamond" w:hAnsi="Garamond" w:cs="Arial"/>
      <w:b/>
      <w:bCs/>
      <w:smallCaps/>
      <w:kern w:val="32"/>
      <w:sz w:val="36"/>
      <w:szCs w:val="36"/>
    </w:rPr>
  </w:style>
  <w:style w:type="character" w:customStyle="1" w:styleId="UnresolvedMention1">
    <w:name w:val="Unresolved Mention1"/>
    <w:basedOn w:val="DefaultParagraphFont"/>
    <w:uiPriority w:val="99"/>
    <w:semiHidden/>
    <w:unhideWhenUsed/>
    <w:rsid w:val="006A4D4C"/>
    <w:rPr>
      <w:color w:val="808080"/>
      <w:shd w:val="clear" w:color="auto" w:fill="E6E6E6"/>
    </w:rPr>
  </w:style>
  <w:style w:type="character" w:styleId="CommentReference">
    <w:name w:val="annotation reference"/>
    <w:basedOn w:val="DefaultParagraphFont"/>
    <w:uiPriority w:val="99"/>
    <w:semiHidden/>
    <w:unhideWhenUsed/>
    <w:rsid w:val="00EF2FC3"/>
    <w:rPr>
      <w:sz w:val="16"/>
      <w:szCs w:val="16"/>
    </w:rPr>
  </w:style>
  <w:style w:type="paragraph" w:styleId="CommentText">
    <w:name w:val="annotation text"/>
    <w:basedOn w:val="Normal"/>
    <w:link w:val="CommentTextChar"/>
    <w:uiPriority w:val="99"/>
    <w:semiHidden/>
    <w:unhideWhenUsed/>
    <w:rsid w:val="005E5A5B"/>
    <w:pPr>
      <w:spacing w:after="160"/>
    </w:pPr>
    <w:rPr>
      <w:rFonts w:ascii="Times New Roman" w:eastAsiaTheme="minorHAnsi" w:hAnsi="Times New Roman"/>
      <w:kern w:val="0"/>
      <w:sz w:val="20"/>
      <w:szCs w:val="20"/>
    </w:rPr>
  </w:style>
  <w:style w:type="character" w:customStyle="1" w:styleId="CommentTextChar">
    <w:name w:val="Comment Text Char"/>
    <w:basedOn w:val="DefaultParagraphFont"/>
    <w:link w:val="CommentText"/>
    <w:uiPriority w:val="99"/>
    <w:semiHidden/>
    <w:rsid w:val="005E5A5B"/>
    <w:rPr>
      <w:rFonts w:eastAsiaTheme="minorHAnsi"/>
    </w:rPr>
  </w:style>
  <w:style w:type="character" w:styleId="Emphasis">
    <w:name w:val="Emphasis"/>
    <w:basedOn w:val="DefaultParagraphFont"/>
    <w:uiPriority w:val="20"/>
    <w:qFormat/>
    <w:rsid w:val="005E5A5B"/>
    <w:rPr>
      <w:i/>
      <w:iCs/>
    </w:rPr>
  </w:style>
  <w:style w:type="paragraph" w:styleId="CommentSubject">
    <w:name w:val="annotation subject"/>
    <w:basedOn w:val="CommentText"/>
    <w:next w:val="CommentText"/>
    <w:link w:val="CommentSubjectChar"/>
    <w:uiPriority w:val="99"/>
    <w:semiHidden/>
    <w:unhideWhenUsed/>
    <w:rsid w:val="00D8302B"/>
    <w:pPr>
      <w:spacing w:after="120"/>
    </w:pPr>
    <w:rPr>
      <w:rFonts w:ascii="Garamond" w:eastAsia="Times New Roman" w:hAnsi="Garamond"/>
      <w:b/>
      <w:bCs/>
      <w:kern w:val="20"/>
    </w:rPr>
  </w:style>
  <w:style w:type="character" w:customStyle="1" w:styleId="CommentSubjectChar">
    <w:name w:val="Comment Subject Char"/>
    <w:basedOn w:val="CommentTextChar"/>
    <w:link w:val="CommentSubject"/>
    <w:uiPriority w:val="99"/>
    <w:semiHidden/>
    <w:rsid w:val="00D8302B"/>
    <w:rPr>
      <w:rFonts w:ascii="Garamond" w:eastAsiaTheme="minorHAnsi" w:hAnsi="Garamond"/>
      <w:b/>
      <w:bCs/>
      <w:kern w:val="20"/>
    </w:rPr>
  </w:style>
  <w:style w:type="paragraph" w:styleId="Revision">
    <w:name w:val="Revision"/>
    <w:hidden/>
    <w:uiPriority w:val="99"/>
    <w:semiHidden/>
    <w:rsid w:val="00FC6FCF"/>
    <w:rPr>
      <w:rFonts w:ascii="Garamond" w:hAnsi="Garamond"/>
      <w:kern w:val="20"/>
      <w:sz w:val="22"/>
      <w:szCs w:val="24"/>
    </w:rPr>
  </w:style>
  <w:style w:type="character" w:customStyle="1" w:styleId="Heading4Char">
    <w:name w:val="Heading 4 Char"/>
    <w:basedOn w:val="DefaultParagraphFont"/>
    <w:link w:val="Heading4"/>
    <w:rsid w:val="00CB64F0"/>
    <w:rPr>
      <w:rFonts w:ascii="Garamond" w:hAnsi="Garamond"/>
      <w:b/>
      <w:snapToGrid w:val="0"/>
      <w:kern w:val="20"/>
      <w:sz w:val="18"/>
      <w:szCs w:val="24"/>
    </w:rPr>
  </w:style>
  <w:style w:type="character" w:customStyle="1" w:styleId="meta">
    <w:name w:val="meta"/>
    <w:basedOn w:val="DefaultParagraphFont"/>
    <w:rsid w:val="00E00027"/>
  </w:style>
  <w:style w:type="character" w:customStyle="1" w:styleId="UnresolvedMention2">
    <w:name w:val="Unresolved Mention2"/>
    <w:basedOn w:val="DefaultParagraphFont"/>
    <w:uiPriority w:val="99"/>
    <w:semiHidden/>
    <w:unhideWhenUsed/>
    <w:rsid w:val="0025394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2368047">
      <w:bodyDiv w:val="1"/>
      <w:marLeft w:val="0"/>
      <w:marRight w:val="0"/>
      <w:marTop w:val="0"/>
      <w:marBottom w:val="0"/>
      <w:divBdr>
        <w:top w:val="none" w:sz="0" w:space="0" w:color="auto"/>
        <w:left w:val="none" w:sz="0" w:space="0" w:color="auto"/>
        <w:bottom w:val="none" w:sz="0" w:space="0" w:color="auto"/>
        <w:right w:val="none" w:sz="0" w:space="0" w:color="auto"/>
      </w:divBdr>
    </w:div>
    <w:div w:id="640042592">
      <w:bodyDiv w:val="1"/>
      <w:marLeft w:val="0"/>
      <w:marRight w:val="0"/>
      <w:marTop w:val="0"/>
      <w:marBottom w:val="0"/>
      <w:divBdr>
        <w:top w:val="none" w:sz="0" w:space="0" w:color="auto"/>
        <w:left w:val="none" w:sz="0" w:space="0" w:color="auto"/>
        <w:bottom w:val="none" w:sz="0" w:space="0" w:color="auto"/>
        <w:right w:val="none" w:sz="0" w:space="0" w:color="auto"/>
      </w:divBdr>
    </w:div>
    <w:div w:id="905215515">
      <w:bodyDiv w:val="1"/>
      <w:marLeft w:val="0"/>
      <w:marRight w:val="0"/>
      <w:marTop w:val="0"/>
      <w:marBottom w:val="0"/>
      <w:divBdr>
        <w:top w:val="none" w:sz="0" w:space="0" w:color="auto"/>
        <w:left w:val="none" w:sz="0" w:space="0" w:color="auto"/>
        <w:bottom w:val="none" w:sz="0" w:space="0" w:color="auto"/>
        <w:right w:val="none" w:sz="0" w:space="0" w:color="auto"/>
      </w:divBdr>
    </w:div>
    <w:div w:id="928268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RelyOnCSS/>
</w:webSettings>
</file>

<file path=word/_rels/document.xml.rels><?xml version="1.0" encoding="UTF-8" standalone="yes"?>
<Relationships xmlns="http://schemas.openxmlformats.org/package/2006/relationships"><Relationship Id="rId13" Type="http://schemas.openxmlformats.org/officeDocument/2006/relationships/hyperlink" Target="http://passel.unl.edu" TargetMode="External"/><Relationship Id="rId18" Type="http://schemas.openxmlformats.org/officeDocument/2006/relationships/image" Target="cid:image001.png@01D38B86.4E53F540" TargetMode="External"/><Relationship Id="rId26" Type="http://schemas.openxmlformats.org/officeDocument/2006/relationships/hyperlink" Target="https://doi.org/10.1145/2460296.2460332" TargetMode="External"/><Relationship Id="rId39" Type="http://schemas.openxmlformats.org/officeDocument/2006/relationships/hyperlink" Target="https://doi.org/10.1080/08923640802039024" TargetMode="External"/><Relationship Id="rId3" Type="http://schemas.openxmlformats.org/officeDocument/2006/relationships/styles" Target="styles.xml"/><Relationship Id="rId21" Type="http://schemas.openxmlformats.org/officeDocument/2006/relationships/hyperlink" Target="https://doi.org/10.21125/edulearn.2016.1473" TargetMode="External"/><Relationship Id="rId34" Type="http://schemas.openxmlformats.org/officeDocument/2006/relationships/hyperlink" Target="https://doi.org/10.9790/3021-0204719725" TargetMode="External"/><Relationship Id="rId42" Type="http://schemas.openxmlformats.org/officeDocument/2006/relationships/image" Target="media/image5.jpeg"/><Relationship Id="rId47" Type="http://schemas.openxmlformats.org/officeDocument/2006/relationships/footer" Target="footer1.xml"/><Relationship Id="rId50" Type="http://schemas.openxmlformats.org/officeDocument/2006/relationships/footer" Target="footer3.xml"/><Relationship Id="rId7" Type="http://schemas.openxmlformats.org/officeDocument/2006/relationships/footnotes" Target="footnotes.xml"/><Relationship Id="rId12" Type="http://schemas.openxmlformats.org/officeDocument/2006/relationships/hyperlink" Target="http://passel.unl.edu" TargetMode="External"/><Relationship Id="rId17" Type="http://schemas.openxmlformats.org/officeDocument/2006/relationships/image" Target="media/image3.png"/><Relationship Id="rId25" Type="http://schemas.openxmlformats.org/officeDocument/2006/relationships/hyperlink" Target="https://doi.org/10.1348/000709901158433" TargetMode="External"/><Relationship Id="rId33" Type="http://schemas.openxmlformats.org/officeDocument/2006/relationships/hyperlink" Target="https://doi.org/10.19173/irrodl.v17i3.2403" TargetMode="External"/><Relationship Id="rId38" Type="http://schemas.openxmlformats.org/officeDocument/2006/relationships/hyperlink" Target="https://doi.org/10.1109/SAI.2017.8252237" TargetMode="External"/><Relationship Id="rId46"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image" Target="cid:image002.png@01D38B86.4E53F540" TargetMode="External"/><Relationship Id="rId29" Type="http://schemas.openxmlformats.org/officeDocument/2006/relationships/hyperlink" Target="http://www.etl.tla.ed.ac.uk/publications.html" TargetMode="External"/><Relationship Id="rId41" Type="http://schemas.openxmlformats.org/officeDocument/2006/relationships/hyperlink" Target="https://doi.org/10.3102/0013189X009011011"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namuth-covert.1@osu.edu" TargetMode="External"/><Relationship Id="rId24" Type="http://schemas.openxmlformats.org/officeDocument/2006/relationships/hyperlink" Target="https://doi.org/10.1007/11774303_46" TargetMode="External"/><Relationship Id="rId32" Type="http://schemas.openxmlformats.org/officeDocument/2006/relationships/hyperlink" Target="https://doi.org/10.1177/0340035217737559" TargetMode="External"/><Relationship Id="rId37" Type="http://schemas.openxmlformats.org/officeDocument/2006/relationships/hyperlink" Target="https://doi.org/10.28945/3511" TargetMode="External"/><Relationship Id="rId40" Type="http://schemas.openxmlformats.org/officeDocument/2006/relationships/hyperlink" Target="https://doi.org/10.28945/459" TargetMode="External"/><Relationship Id="rId45"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yperlink" Target="http://passel.unl.edu" TargetMode="External"/><Relationship Id="rId23" Type="http://schemas.openxmlformats.org/officeDocument/2006/relationships/hyperlink" Target="https://doi.org/10.24059/olj.v22i1.1060" TargetMode="External"/><Relationship Id="rId28" Type="http://schemas.openxmlformats.org/officeDocument/2006/relationships/hyperlink" Target="https://doi.org/10.1080/00071005.1977.9973497" TargetMode="External"/><Relationship Id="rId36" Type="http://schemas.openxmlformats.org/officeDocument/2006/relationships/hyperlink" Target="https://doi.org/10.28945/419" TargetMode="External"/><Relationship Id="rId49" Type="http://schemas.openxmlformats.org/officeDocument/2006/relationships/header" Target="header3.xml"/><Relationship Id="rId10" Type="http://schemas.openxmlformats.org/officeDocument/2006/relationships/hyperlink" Target="mailto:ashu.guru@unl.edu" TargetMode="External"/><Relationship Id="rId19" Type="http://schemas.openxmlformats.org/officeDocument/2006/relationships/image" Target="media/image4.png"/><Relationship Id="rId31" Type="http://schemas.openxmlformats.org/officeDocument/2006/relationships/hyperlink" Target="https://doi.org/10.1145/2460296.2460330" TargetMode="External"/><Relationship Id="rId44" Type="http://schemas.openxmlformats.org/officeDocument/2006/relationships/image" Target="media/image7.png"/><Relationship Id="rId52"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mailto:gnugent@unl.edu" TargetMode="External"/><Relationship Id="rId14" Type="http://schemas.openxmlformats.org/officeDocument/2006/relationships/image" Target="media/image1.png"/><Relationship Id="rId22" Type="http://schemas.openxmlformats.org/officeDocument/2006/relationships/hyperlink" Target="https://doi.org/10.29333/ejmste/91486" TargetMode="External"/><Relationship Id="rId27" Type="http://schemas.openxmlformats.org/officeDocument/2006/relationships/hyperlink" Target="https://doi.org/10.18060/21448" TargetMode="External"/><Relationship Id="rId30" Type="http://schemas.openxmlformats.org/officeDocument/2006/relationships/hyperlink" Target="https://doi.org/10.1348/00070990260377488" TargetMode="External"/><Relationship Id="rId35" Type="http://schemas.openxmlformats.org/officeDocument/2006/relationships/hyperlink" Target="https://doi.org/10.1111/j.2044-8279.1976.tb02980.x" TargetMode="External"/><Relationship Id="rId43" Type="http://schemas.openxmlformats.org/officeDocument/2006/relationships/image" Target="media/image6.jpeg"/><Relationship Id="rId48" Type="http://schemas.openxmlformats.org/officeDocument/2006/relationships/footer" Target="footer2.xml"/><Relationship Id="rId8" Type="http://schemas.openxmlformats.org/officeDocument/2006/relationships/endnotes" Target="endnotes.xml"/><Relationship Id="rId51" Type="http://schemas.openxmlformats.org/officeDocument/2006/relationships/fontTable" Target="fontTable.xml"/></Relationships>
</file>

<file path=word/_rels/footer3.xml.rels><?xml version="1.0" encoding="UTF-8" standalone="yes"?>
<Relationships xmlns="http://schemas.openxmlformats.org/package/2006/relationships"><Relationship Id="rId1" Type="http://schemas.openxmlformats.org/officeDocument/2006/relationships/hyperlink" Target="https://doi.org/10.28945/4133"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8.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ettyboyd\Documents\Custom%20Office%20Templates\Journal%20Format%20Instructions%202017%20Betty%20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2CBCA9-FFC7-41F8-9D99-BFAEB44614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Journal Format Instructions 2017 Betty 2.dotx</Template>
  <TotalTime>8</TotalTime>
  <Pages>16</Pages>
  <Words>8147</Words>
  <Characters>48115</Characters>
  <Application>Microsoft Office Word</Application>
  <DocSecurity>0</DocSecurity>
  <Lines>400</Lines>
  <Paragraphs>112</Paragraphs>
  <ScaleCrop>false</ScaleCrop>
  <HeadingPairs>
    <vt:vector size="4" baseType="variant">
      <vt:variant>
        <vt:lpstr>Title</vt:lpstr>
      </vt:variant>
      <vt:variant>
        <vt:i4>1</vt:i4>
      </vt:variant>
      <vt:variant>
        <vt:lpstr>Tytuł</vt:lpstr>
      </vt:variant>
      <vt:variant>
        <vt:i4>1</vt:i4>
      </vt:variant>
    </vt:vector>
  </HeadingPairs>
  <TitlesOfParts>
    <vt:vector size="2" baseType="lpstr">
      <vt:lpstr>Students’ Approaches to E-Learning: Analyzing Credit/Noncredit and High/Low Performers</vt:lpstr>
      <vt:lpstr>Put Title Here Using Heading 1 Style</vt:lpstr>
    </vt:vector>
  </TitlesOfParts>
  <Manager>Fay Sudweeks, Editor-in-Cheif</Manager>
  <Company>Informing Science Institute</Company>
  <LinksUpToDate>false</LinksUpToDate>
  <CharactersWithSpaces>56150</CharactersWithSpaces>
  <SharedDoc>false</SharedDoc>
  <HLinks>
    <vt:vector size="60" baseType="variant">
      <vt:variant>
        <vt:i4>1900629</vt:i4>
      </vt:variant>
      <vt:variant>
        <vt:i4>24</vt:i4>
      </vt:variant>
      <vt:variant>
        <vt:i4>0</vt:i4>
      </vt:variant>
      <vt:variant>
        <vt:i4>5</vt:i4>
      </vt:variant>
      <vt:variant>
        <vt:lpwstr>http://www.jite.org/documents/Vol2/v2p349-356-43.pdf</vt:lpwstr>
      </vt:variant>
      <vt:variant>
        <vt:lpwstr/>
      </vt:variant>
      <vt:variant>
        <vt:i4>7864434</vt:i4>
      </vt:variant>
      <vt:variant>
        <vt:i4>21</vt:i4>
      </vt:variant>
      <vt:variant>
        <vt:i4>0</vt:i4>
      </vt:variant>
      <vt:variant>
        <vt:i4>5</vt:i4>
      </vt:variant>
      <vt:variant>
        <vt:lpwstr>http://www.acm.org/education/is2002.pdf</vt:lpwstr>
      </vt:variant>
      <vt:variant>
        <vt:lpwstr/>
      </vt:variant>
      <vt:variant>
        <vt:i4>4980855</vt:i4>
      </vt:variant>
      <vt:variant>
        <vt:i4>18</vt:i4>
      </vt:variant>
      <vt:variant>
        <vt:i4>0</vt:i4>
      </vt:variant>
      <vt:variant>
        <vt:i4>5</vt:i4>
      </vt:variant>
      <vt:variant>
        <vt:lpwstr>http://webster.commnet.edu/apa/apa_index.htm</vt:lpwstr>
      </vt:variant>
      <vt:variant>
        <vt:lpwstr/>
      </vt:variant>
      <vt:variant>
        <vt:i4>1572869</vt:i4>
      </vt:variant>
      <vt:variant>
        <vt:i4>15</vt:i4>
      </vt:variant>
      <vt:variant>
        <vt:i4>0</vt:i4>
      </vt:variant>
      <vt:variant>
        <vt:i4>5</vt:i4>
      </vt:variant>
      <vt:variant>
        <vt:lpwstr>http://www.jite.org/documents/JITEFormatInstructions.doc</vt:lpwstr>
      </vt:variant>
      <vt:variant>
        <vt:lpwstr/>
      </vt:variant>
      <vt:variant>
        <vt:i4>7602274</vt:i4>
      </vt:variant>
      <vt:variant>
        <vt:i4>12</vt:i4>
      </vt:variant>
      <vt:variant>
        <vt:i4>0</vt:i4>
      </vt:variant>
      <vt:variant>
        <vt:i4>5</vt:i4>
      </vt:variant>
      <vt:variant>
        <vt:lpwstr>http://informingscience.org/APA.pdf</vt:lpwstr>
      </vt:variant>
      <vt:variant>
        <vt:lpwstr/>
      </vt:variant>
      <vt:variant>
        <vt:i4>3080296</vt:i4>
      </vt:variant>
      <vt:variant>
        <vt:i4>9</vt:i4>
      </vt:variant>
      <vt:variant>
        <vt:i4>0</vt:i4>
      </vt:variant>
      <vt:variant>
        <vt:i4>5</vt:i4>
      </vt:variant>
      <vt:variant>
        <vt:lpwstr>http://grammar.ccc.commnet.edu/grammar</vt:lpwstr>
      </vt:variant>
      <vt:variant>
        <vt:lpwstr/>
      </vt:variant>
      <vt:variant>
        <vt:i4>4784249</vt:i4>
      </vt:variant>
      <vt:variant>
        <vt:i4>6</vt:i4>
      </vt:variant>
      <vt:variant>
        <vt:i4>0</vt:i4>
      </vt:variant>
      <vt:variant>
        <vt:i4>5</vt:i4>
      </vt:variant>
      <vt:variant>
        <vt:lpwstr>mailto:Publisher@InformingScience.org</vt:lpwstr>
      </vt:variant>
      <vt:variant>
        <vt:lpwstr/>
      </vt:variant>
      <vt:variant>
        <vt:i4>4259899</vt:i4>
      </vt:variant>
      <vt:variant>
        <vt:i4>3</vt:i4>
      </vt:variant>
      <vt:variant>
        <vt:i4>0</vt:i4>
      </vt:variant>
      <vt:variant>
        <vt:i4>5</vt:i4>
      </vt:variant>
      <vt:variant>
        <vt:lpwstr>mailto:Author2Email@address.edu</vt:lpwstr>
      </vt:variant>
      <vt:variant>
        <vt:lpwstr/>
      </vt:variant>
      <vt:variant>
        <vt:i4>4325435</vt:i4>
      </vt:variant>
      <vt:variant>
        <vt:i4>0</vt:i4>
      </vt:variant>
      <vt:variant>
        <vt:i4>0</vt:i4>
      </vt:variant>
      <vt:variant>
        <vt:i4>5</vt:i4>
      </vt:variant>
      <vt:variant>
        <vt:lpwstr>mailto:Author1Email@address.edu</vt:lpwstr>
      </vt:variant>
      <vt:variant>
        <vt:lpwstr/>
      </vt:variant>
      <vt:variant>
        <vt:i4>4784249</vt:i4>
      </vt:variant>
      <vt:variant>
        <vt:i4>0</vt:i4>
      </vt:variant>
      <vt:variant>
        <vt:i4>0</vt:i4>
      </vt:variant>
      <vt:variant>
        <vt:i4>5</vt:i4>
      </vt:variant>
      <vt:variant>
        <vt:lpwstr>mailto:Publisher@InformingScience.org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Students’ Approaches to E-Learning: Analyzing Credit/Noncredit and High/Low Performers</dc:title>
  <dc:creator>Gwen Nugent, Ashu Guru, Deana Namuth-Covert</dc:creator>
  <cp:keywords>learning object repository, learning approaches, noncredit learners, cluster analysis, web-tracking data </cp:keywords>
  <cp:lastModifiedBy>elicohen</cp:lastModifiedBy>
  <cp:revision>3</cp:revision>
  <cp:lastPrinted>2018-10-16T18:59:00Z</cp:lastPrinted>
  <dcterms:created xsi:type="dcterms:W3CDTF">2018-10-18T22:18:00Z</dcterms:created>
  <dcterms:modified xsi:type="dcterms:W3CDTF">2018-10-18T22:28:00Z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ditor">
    <vt:lpwstr>Ewa Wanda Ziemba</vt:lpwstr>
  </property>
  <property fmtid="{D5CDD505-2E9C-101B-9397-08002B2CF9AE}" pid="3" name="Journal Name">
    <vt:lpwstr>Interdisciplinary Journal of e-Skills and Lifelong Learning</vt:lpwstr>
  </property>
  <property fmtid="{D5CDD505-2E9C-101B-9397-08002B2CF9AE}" pid="4" name="Source">
    <vt:lpwstr>https://doi.org/10.28945/4133</vt:lpwstr>
  </property>
  <property fmtid="{D5CDD505-2E9C-101B-9397-08002B2CF9AE}" pid="5" name="Publisher">
    <vt:lpwstr>Informing Science Institute</vt:lpwstr>
  </property>
</Properties>
</file>